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6658E6" w14:textId="5F58B1E6" w:rsidR="00184096" w:rsidRDefault="00897617" w:rsidP="004467E3">
      <w:r>
        <w:softHyphen/>
      </w:r>
      <w:r>
        <w:softHyphen/>
      </w:r>
      <w:r>
        <w:softHyphen/>
      </w:r>
    </w:p>
    <w:p w14:paraId="2A6D364A" w14:textId="77777777" w:rsidR="00184096" w:rsidRDefault="00184096" w:rsidP="00184096">
      <w:pPr>
        <w:jc w:val="center"/>
        <w:rPr>
          <w:rFonts w:ascii="Garamond" w:hAnsi="Garamond"/>
          <w:b/>
        </w:rPr>
      </w:pPr>
    </w:p>
    <w:p w14:paraId="3AC87A58" w14:textId="77777777" w:rsidR="00184096" w:rsidRDefault="00184096" w:rsidP="00184096">
      <w:pPr>
        <w:jc w:val="center"/>
        <w:rPr>
          <w:rFonts w:ascii="Garamond" w:hAnsi="Garamond"/>
          <w:b/>
        </w:rPr>
      </w:pPr>
      <w:r>
        <w:rPr>
          <w:rFonts w:ascii="Garamond" w:hAnsi="Garamond"/>
          <w:b/>
        </w:rPr>
        <w:t>RIDER B-2</w:t>
      </w:r>
    </w:p>
    <w:p w14:paraId="380A440E" w14:textId="77777777" w:rsidR="00184096" w:rsidRDefault="00184096" w:rsidP="00184096">
      <w:pPr>
        <w:jc w:val="center"/>
        <w:rPr>
          <w:rFonts w:ascii="Garamond" w:hAnsi="Garamond"/>
          <w:b/>
        </w:rPr>
      </w:pPr>
      <w:r>
        <w:rPr>
          <w:rFonts w:ascii="Garamond" w:hAnsi="Garamond"/>
          <w:b/>
        </w:rPr>
        <w:t>UNIVERSITY SPECIFIC SUPPLEMENTAL CONDITIONS</w:t>
      </w:r>
    </w:p>
    <w:p w14:paraId="7CE1AEDD" w14:textId="77777777" w:rsidR="00184096" w:rsidRDefault="00184096" w:rsidP="00184096">
      <w:pPr>
        <w:rPr>
          <w:rFonts w:ascii="Garamond" w:hAnsi="Garamond"/>
          <w:b/>
        </w:rPr>
      </w:pPr>
    </w:p>
    <w:p w14:paraId="78FE560F" w14:textId="10130EB2" w:rsidR="0032390E" w:rsidRDefault="00ED57A9" w:rsidP="0032390E">
      <w:pPr>
        <w:jc w:val="both"/>
        <w:rPr>
          <w:rFonts w:ascii="Garamond" w:hAnsi="Garamond"/>
          <w:sz w:val="20"/>
        </w:rPr>
      </w:pPr>
      <w:bookmarkStart w:id="0" w:name="_GoBack"/>
      <w:r>
        <w:rPr>
          <w:rFonts w:ascii="Garamond" w:hAnsi="Garamond"/>
          <w:sz w:val="20"/>
        </w:rPr>
        <w:t xml:space="preserve">As a mitigation measure from </w:t>
      </w:r>
      <w:r w:rsidR="0032390E">
        <w:rPr>
          <w:rFonts w:ascii="Garamond" w:hAnsi="Garamond"/>
          <w:sz w:val="20"/>
        </w:rPr>
        <w:t xml:space="preserve">growing threat from climate change and the need for </w:t>
      </w:r>
      <w:r>
        <w:rPr>
          <w:rFonts w:ascii="Garamond" w:hAnsi="Garamond"/>
          <w:sz w:val="20"/>
        </w:rPr>
        <w:t xml:space="preserve">energy </w:t>
      </w:r>
      <w:r w:rsidR="0032390E">
        <w:rPr>
          <w:rFonts w:ascii="Garamond" w:hAnsi="Garamond"/>
          <w:sz w:val="20"/>
        </w:rPr>
        <w:t>resilience,</w:t>
      </w:r>
      <w:r>
        <w:rPr>
          <w:rFonts w:ascii="Garamond" w:hAnsi="Garamond"/>
          <w:sz w:val="20"/>
        </w:rPr>
        <w:t xml:space="preserve"> this </w:t>
      </w:r>
      <w:r w:rsidR="0032390E">
        <w:rPr>
          <w:rFonts w:ascii="Garamond" w:hAnsi="Garamond"/>
          <w:sz w:val="20"/>
        </w:rPr>
        <w:t xml:space="preserve">solar project </w:t>
      </w:r>
      <w:r w:rsidR="006D2787">
        <w:rPr>
          <w:rFonts w:ascii="Garamond" w:hAnsi="Garamond"/>
          <w:sz w:val="20"/>
        </w:rPr>
        <w:t xml:space="preserve">shall </w:t>
      </w:r>
      <w:r w:rsidR="0032390E">
        <w:rPr>
          <w:rFonts w:ascii="Garamond" w:hAnsi="Garamond"/>
          <w:sz w:val="20"/>
        </w:rPr>
        <w:t>be designed to be microgrid-ready</w:t>
      </w:r>
      <w:r w:rsidR="006D2787">
        <w:rPr>
          <w:rFonts w:ascii="Garamond" w:hAnsi="Garamond"/>
          <w:sz w:val="20"/>
        </w:rPr>
        <w:t>.  T</w:t>
      </w:r>
      <w:r w:rsidR="0032390E">
        <w:rPr>
          <w:rFonts w:ascii="Garamond" w:hAnsi="Garamond"/>
          <w:sz w:val="20"/>
        </w:rPr>
        <w:t>he following provisions shall apply:</w:t>
      </w:r>
    </w:p>
    <w:p w14:paraId="50386E5E" w14:textId="283397D3" w:rsidR="0032390E" w:rsidRDefault="0032390E" w:rsidP="0032390E">
      <w:pPr>
        <w:jc w:val="both"/>
        <w:rPr>
          <w:rFonts w:ascii="Garamond" w:hAnsi="Garamond"/>
          <w:sz w:val="20"/>
        </w:rPr>
      </w:pPr>
    </w:p>
    <w:p w14:paraId="02CFF178" w14:textId="77777777" w:rsidR="001A5972" w:rsidRPr="00260E50" w:rsidRDefault="001A5972" w:rsidP="001A5972">
      <w:pPr>
        <w:pStyle w:val="ListParagraph"/>
        <w:numPr>
          <w:ilvl w:val="0"/>
          <w:numId w:val="5"/>
        </w:numPr>
        <w:rPr>
          <w:rFonts w:ascii="Garamond" w:hAnsi="Garamond"/>
          <w:sz w:val="20"/>
        </w:rPr>
      </w:pPr>
      <w:r w:rsidRPr="00260E50">
        <w:rPr>
          <w:rFonts w:ascii="Garamond" w:hAnsi="Garamond"/>
          <w:sz w:val="20"/>
        </w:rPr>
        <w:t xml:space="preserve">The following language </w:t>
      </w:r>
      <w:r>
        <w:rPr>
          <w:rFonts w:ascii="Garamond" w:hAnsi="Garamond"/>
          <w:sz w:val="20"/>
        </w:rPr>
        <w:t xml:space="preserve">supersedes </w:t>
      </w:r>
      <w:r w:rsidRPr="00260E50">
        <w:rPr>
          <w:rFonts w:ascii="Garamond" w:hAnsi="Garamond"/>
          <w:sz w:val="20"/>
        </w:rPr>
        <w:t>section 19.26 of the SLPPA:</w:t>
      </w:r>
    </w:p>
    <w:p w14:paraId="7E6F4A3A" w14:textId="4DE8D5F1" w:rsidR="001A5972" w:rsidRDefault="001A5972" w:rsidP="001A5972">
      <w:pPr>
        <w:pStyle w:val="ListParagraph"/>
        <w:numPr>
          <w:ilvl w:val="1"/>
          <w:numId w:val="5"/>
        </w:numPr>
        <w:rPr>
          <w:rFonts w:ascii="Garamond" w:hAnsi="Garamond"/>
          <w:sz w:val="20"/>
        </w:rPr>
      </w:pPr>
      <w:r w:rsidRPr="006305EE">
        <w:rPr>
          <w:rFonts w:ascii="Garamond" w:hAnsi="Garamond"/>
          <w:sz w:val="20"/>
        </w:rPr>
        <w:t xml:space="preserve">In addition to the </w:t>
      </w:r>
      <w:r w:rsidR="00F25609">
        <w:rPr>
          <w:rFonts w:ascii="Garamond" w:hAnsi="Garamond"/>
          <w:sz w:val="20"/>
        </w:rPr>
        <w:t xml:space="preserve">Solar </w:t>
      </w:r>
      <w:r w:rsidRPr="006305EE">
        <w:rPr>
          <w:rFonts w:ascii="Garamond" w:hAnsi="Garamond"/>
          <w:sz w:val="20"/>
        </w:rPr>
        <w:t xml:space="preserve">Services provided to CSU under this Agreement, Contractor shall, in good faith cooperation with the local electric utility (“Utility”), undertake and exercise its best efforts to provide standby capability and backup power deliverability from the </w:t>
      </w:r>
      <w:r w:rsidR="00F25609">
        <w:rPr>
          <w:rFonts w:ascii="Garamond" w:hAnsi="Garamond"/>
          <w:sz w:val="20"/>
        </w:rPr>
        <w:t>Solar</w:t>
      </w:r>
      <w:r w:rsidRPr="006305EE">
        <w:rPr>
          <w:rFonts w:ascii="Garamond" w:hAnsi="Garamond"/>
          <w:sz w:val="20"/>
        </w:rPr>
        <w:t xml:space="preserve"> Facility to the interconnected distribution and transmission grid operated by the California Independent System Operator (“CAISO”), continuously and at all times consistent with: </w:t>
      </w:r>
    </w:p>
    <w:p w14:paraId="0E7F97C6" w14:textId="77777777" w:rsidR="001A5972" w:rsidRDefault="001A5972" w:rsidP="001A5972">
      <w:pPr>
        <w:pStyle w:val="ListParagraph"/>
        <w:numPr>
          <w:ilvl w:val="2"/>
          <w:numId w:val="5"/>
        </w:numPr>
        <w:rPr>
          <w:rFonts w:ascii="Garamond" w:hAnsi="Garamond"/>
          <w:sz w:val="20"/>
        </w:rPr>
      </w:pPr>
      <w:r w:rsidRPr="006305EE">
        <w:rPr>
          <w:rFonts w:ascii="Garamond" w:hAnsi="Garamond"/>
          <w:sz w:val="20"/>
        </w:rPr>
        <w:t xml:space="preserve">the terms and conditions of this Agreement; </w:t>
      </w:r>
    </w:p>
    <w:p w14:paraId="4FEE4558" w14:textId="77777777" w:rsidR="001A5972" w:rsidRDefault="001A5972" w:rsidP="001A5972">
      <w:pPr>
        <w:pStyle w:val="ListParagraph"/>
        <w:numPr>
          <w:ilvl w:val="2"/>
          <w:numId w:val="5"/>
        </w:numPr>
        <w:rPr>
          <w:rFonts w:ascii="Garamond" w:hAnsi="Garamond"/>
          <w:sz w:val="20"/>
        </w:rPr>
      </w:pPr>
      <w:r w:rsidRPr="006305EE">
        <w:rPr>
          <w:rFonts w:ascii="Garamond" w:hAnsi="Garamond"/>
          <w:sz w:val="20"/>
        </w:rPr>
        <w:t>contractual requirements of any applicable generation interconnection and interconnection-related agreements with Utility or other third parties;</w:t>
      </w:r>
      <w:r>
        <w:rPr>
          <w:rFonts w:ascii="Garamond" w:hAnsi="Garamond"/>
          <w:sz w:val="20"/>
        </w:rPr>
        <w:t xml:space="preserve"> </w:t>
      </w:r>
    </w:p>
    <w:p w14:paraId="02E72693" w14:textId="77777777" w:rsidR="001A5972" w:rsidRDefault="001A5972" w:rsidP="001A5972">
      <w:pPr>
        <w:pStyle w:val="ListParagraph"/>
        <w:numPr>
          <w:ilvl w:val="2"/>
          <w:numId w:val="5"/>
        </w:numPr>
        <w:rPr>
          <w:rFonts w:ascii="Garamond" w:hAnsi="Garamond"/>
          <w:sz w:val="20"/>
        </w:rPr>
      </w:pPr>
      <w:r w:rsidRPr="006305EE">
        <w:rPr>
          <w:rFonts w:ascii="Garamond" w:hAnsi="Garamond"/>
          <w:sz w:val="20"/>
        </w:rPr>
        <w:t xml:space="preserve">any written operational instructions and guidance provided by CSU; and </w:t>
      </w:r>
    </w:p>
    <w:p w14:paraId="78BF9490" w14:textId="77777777" w:rsidR="001A5972" w:rsidRPr="006305EE" w:rsidRDefault="001A5972" w:rsidP="001A5972">
      <w:pPr>
        <w:pStyle w:val="ListParagraph"/>
        <w:numPr>
          <w:ilvl w:val="2"/>
          <w:numId w:val="5"/>
        </w:numPr>
        <w:rPr>
          <w:rFonts w:ascii="Garamond" w:hAnsi="Garamond"/>
          <w:sz w:val="20"/>
        </w:rPr>
      </w:pPr>
      <w:r w:rsidRPr="006305EE">
        <w:rPr>
          <w:rFonts w:ascii="Garamond" w:hAnsi="Garamond"/>
          <w:sz w:val="20"/>
        </w:rPr>
        <w:t>all Applicable Law.</w:t>
      </w:r>
    </w:p>
    <w:p w14:paraId="68B35D3C" w14:textId="6B7B2A16" w:rsidR="001A5972" w:rsidRPr="006305EE" w:rsidRDefault="001A5972" w:rsidP="001A5972">
      <w:pPr>
        <w:pStyle w:val="ListParagraph"/>
        <w:numPr>
          <w:ilvl w:val="1"/>
          <w:numId w:val="5"/>
        </w:numPr>
        <w:rPr>
          <w:rFonts w:ascii="Garamond" w:hAnsi="Garamond"/>
          <w:sz w:val="20"/>
        </w:rPr>
      </w:pPr>
      <w:r w:rsidRPr="006305EE">
        <w:rPr>
          <w:rFonts w:ascii="Garamond" w:hAnsi="Garamond"/>
          <w:sz w:val="20"/>
        </w:rPr>
        <w:t xml:space="preserve">For purposes of this Section 19.26, Applicable Law shall include, without limitation, D.18-01-003 and its Appendices (“Multiple Use Application Decision”) and D.19-04-002 (“De-Energization Decision”), each as they may be amended and supplemented from time to time by the California Public Utilities Commission (“CPUC”), together with any new policy and operational directives issued by the CPUC and any other governmental agencies having jurisdiction over the </w:t>
      </w:r>
      <w:r w:rsidR="00F25609">
        <w:rPr>
          <w:rFonts w:ascii="Garamond" w:hAnsi="Garamond"/>
          <w:sz w:val="20"/>
        </w:rPr>
        <w:t>Solar</w:t>
      </w:r>
      <w:r w:rsidRPr="006305EE">
        <w:rPr>
          <w:rFonts w:ascii="Garamond" w:hAnsi="Garamond"/>
          <w:sz w:val="20"/>
        </w:rPr>
        <w:t xml:space="preserve"> Facility. In no event shall Contractor “island” or disconnect the </w:t>
      </w:r>
      <w:r w:rsidR="00F25609">
        <w:rPr>
          <w:rFonts w:ascii="Garamond" w:hAnsi="Garamond"/>
          <w:sz w:val="20"/>
        </w:rPr>
        <w:t>Solar</w:t>
      </w:r>
      <w:r w:rsidRPr="006305EE">
        <w:rPr>
          <w:rFonts w:ascii="Garamond" w:hAnsi="Garamond"/>
          <w:sz w:val="20"/>
        </w:rPr>
        <w:t xml:space="preserve"> Facility from CSU’s facilities or the grid unless required to do so by CSU or an agency having jurisdiction.</w:t>
      </w:r>
    </w:p>
    <w:p w14:paraId="440CC08E" w14:textId="5C8A5F95" w:rsidR="001A5972" w:rsidRDefault="001A5972" w:rsidP="001A5972">
      <w:pPr>
        <w:pStyle w:val="ListParagraph"/>
        <w:numPr>
          <w:ilvl w:val="1"/>
          <w:numId w:val="5"/>
        </w:numPr>
        <w:rPr>
          <w:rFonts w:ascii="Garamond" w:hAnsi="Garamond"/>
          <w:sz w:val="20"/>
        </w:rPr>
      </w:pPr>
      <w:r w:rsidRPr="006305EE">
        <w:rPr>
          <w:rFonts w:ascii="Garamond" w:hAnsi="Garamond"/>
          <w:sz w:val="20"/>
        </w:rPr>
        <w:t xml:space="preserve">Contractor shall notify CSU at least seventy-two (72) hours before any planned shutdown of the </w:t>
      </w:r>
      <w:r w:rsidR="00F25609">
        <w:rPr>
          <w:rFonts w:ascii="Garamond" w:hAnsi="Garamond"/>
          <w:sz w:val="20"/>
        </w:rPr>
        <w:t>Solar</w:t>
      </w:r>
      <w:r w:rsidRPr="006305EE">
        <w:rPr>
          <w:rFonts w:ascii="Garamond" w:hAnsi="Garamond"/>
          <w:sz w:val="20"/>
        </w:rPr>
        <w:t xml:space="preserve"> Facility that could impact CSU is scheduled to begin.  In each instance of such notices, Contractor shall indicate the equipment affected, the outage duration and purpose, and other details which CSU may determine and request from time to time.  To the extent an unplanned outage related to the </w:t>
      </w:r>
      <w:r w:rsidR="00F25609">
        <w:rPr>
          <w:rFonts w:ascii="Garamond" w:hAnsi="Garamond"/>
          <w:sz w:val="20"/>
        </w:rPr>
        <w:t>Solar</w:t>
      </w:r>
      <w:r w:rsidRPr="006305EE">
        <w:rPr>
          <w:rFonts w:ascii="Garamond" w:hAnsi="Garamond"/>
          <w:sz w:val="20"/>
        </w:rPr>
        <w:t xml:space="preserve"> Facility occurs, including as the result of an emergency, including without limitation “Public Safety Power Shut-offs,” and regardless of whether CSU’s facilities are impacted, Contractor shall notify CSU as soon as reasonably practicable after any such outage and provide any details which CSU may reasonably request thereafter.  </w:t>
      </w:r>
    </w:p>
    <w:p w14:paraId="3843E7CB" w14:textId="62E77AD2" w:rsidR="001A5972" w:rsidRPr="00484B96" w:rsidRDefault="001A5972" w:rsidP="001A5972">
      <w:pPr>
        <w:pStyle w:val="ListParagraph"/>
        <w:numPr>
          <w:ilvl w:val="1"/>
          <w:numId w:val="5"/>
        </w:numPr>
        <w:rPr>
          <w:rFonts w:ascii="Garamond" w:hAnsi="Garamond"/>
          <w:sz w:val="20"/>
        </w:rPr>
      </w:pPr>
      <w:r w:rsidRPr="00484B96">
        <w:rPr>
          <w:rFonts w:ascii="Garamond" w:hAnsi="Garamond"/>
          <w:sz w:val="20"/>
        </w:rPr>
        <w:t xml:space="preserve">Contractor and CSU shall coordinate any outages that could reasonably be expected to impact CSU’s facilities and operations such that CSU should incur no actual loss or damage from operation or maintenance of the </w:t>
      </w:r>
      <w:r w:rsidR="00F25609">
        <w:rPr>
          <w:rFonts w:ascii="Garamond" w:hAnsi="Garamond"/>
          <w:sz w:val="20"/>
        </w:rPr>
        <w:t>Solar</w:t>
      </w:r>
      <w:r w:rsidRPr="00484B96">
        <w:rPr>
          <w:rFonts w:ascii="Garamond" w:hAnsi="Garamond"/>
          <w:sz w:val="20"/>
        </w:rPr>
        <w:t xml:space="preserve"> Facility.  Outages for which Contractor strictly adheres to the provisions of this Section 19.26 shall not be deemed an Event of Default, regardless of the duration thereof.  Failure by Contractor to reimburse CSU for any actual loss or damages that are duly documented and invoiced shall be subject to the provisions of </w:t>
      </w:r>
      <w:r w:rsidR="0063356E">
        <w:rPr>
          <w:rFonts w:ascii="Garamond" w:hAnsi="Garamond"/>
          <w:sz w:val="20"/>
        </w:rPr>
        <w:t xml:space="preserve">Article 15 </w:t>
      </w:r>
      <w:r w:rsidRPr="00484B96">
        <w:rPr>
          <w:rFonts w:ascii="Garamond" w:hAnsi="Garamond"/>
          <w:sz w:val="20"/>
        </w:rPr>
        <w:t>Default</w:t>
      </w:r>
      <w:r w:rsidR="0063356E">
        <w:rPr>
          <w:rFonts w:ascii="Garamond" w:hAnsi="Garamond"/>
          <w:sz w:val="20"/>
        </w:rPr>
        <w:t xml:space="preserve"> of the Solar 4: Exhibit A – Solar License and Power Purchase Agreement</w:t>
      </w:r>
      <w:r w:rsidRPr="00484B96">
        <w:rPr>
          <w:rFonts w:ascii="Garamond" w:hAnsi="Garamond"/>
          <w:sz w:val="20"/>
        </w:rPr>
        <w:t>.</w:t>
      </w:r>
    </w:p>
    <w:p w14:paraId="5E544361" w14:textId="12C9F87D" w:rsidR="001A5972" w:rsidRDefault="001A5972" w:rsidP="0032390E">
      <w:pPr>
        <w:jc w:val="both"/>
        <w:rPr>
          <w:rFonts w:ascii="Garamond" w:hAnsi="Garamond"/>
          <w:sz w:val="20"/>
        </w:rPr>
      </w:pPr>
    </w:p>
    <w:p w14:paraId="046B8636" w14:textId="7F00087D" w:rsidR="006252F3" w:rsidRDefault="006252F3" w:rsidP="006252F3">
      <w:pPr>
        <w:pStyle w:val="ListParagraph"/>
        <w:numPr>
          <w:ilvl w:val="0"/>
          <w:numId w:val="5"/>
        </w:numPr>
        <w:rPr>
          <w:rFonts w:ascii="Garamond" w:hAnsi="Garamond"/>
          <w:sz w:val="20"/>
        </w:rPr>
      </w:pPr>
      <w:r w:rsidRPr="00260E50">
        <w:rPr>
          <w:rFonts w:ascii="Garamond" w:hAnsi="Garamond"/>
          <w:sz w:val="20"/>
        </w:rPr>
        <w:t xml:space="preserve">The following language </w:t>
      </w:r>
      <w:r>
        <w:rPr>
          <w:rFonts w:ascii="Garamond" w:hAnsi="Garamond"/>
          <w:sz w:val="20"/>
        </w:rPr>
        <w:t>shall be appended to</w:t>
      </w:r>
      <w:r w:rsidR="00D40D57">
        <w:rPr>
          <w:rFonts w:ascii="Garamond" w:hAnsi="Garamond"/>
          <w:sz w:val="20"/>
        </w:rPr>
        <w:t xml:space="preserve"> Rider B1, otherwise known as the SLPPA General Conditions</w:t>
      </w:r>
      <w:r w:rsidR="009B0821">
        <w:rPr>
          <w:rFonts w:ascii="Garamond" w:hAnsi="Garamond"/>
          <w:sz w:val="20"/>
        </w:rPr>
        <w:t xml:space="preserve">, </w:t>
      </w:r>
      <w:r w:rsidR="00267054">
        <w:rPr>
          <w:rFonts w:ascii="Garamond" w:hAnsi="Garamond"/>
          <w:sz w:val="20"/>
        </w:rPr>
        <w:t>as §36.03 Environmental Requirements (h)</w:t>
      </w:r>
      <w:r w:rsidR="00D40D57">
        <w:rPr>
          <w:rFonts w:ascii="Garamond" w:hAnsi="Garamond"/>
          <w:sz w:val="20"/>
        </w:rPr>
        <w:t>:</w:t>
      </w:r>
    </w:p>
    <w:p w14:paraId="610A31F5" w14:textId="72B9F407" w:rsidR="009B0821" w:rsidRPr="009B0821" w:rsidRDefault="009B0821" w:rsidP="009B0821">
      <w:pPr>
        <w:pStyle w:val="ListParagraph"/>
        <w:ind w:left="360"/>
        <w:rPr>
          <w:rFonts w:ascii="Garamond" w:hAnsi="Garamond"/>
          <w:sz w:val="20"/>
        </w:rPr>
      </w:pPr>
      <w:r w:rsidRPr="009B0821">
        <w:rPr>
          <w:rFonts w:ascii="Garamond" w:hAnsi="Garamond"/>
          <w:sz w:val="20"/>
        </w:rPr>
        <w:t>Buy Clean California Act.</w:t>
      </w:r>
    </w:p>
    <w:p w14:paraId="5F2B730C" w14:textId="62D3A654" w:rsidR="009B0821" w:rsidRDefault="009B0821" w:rsidP="009B0821">
      <w:pPr>
        <w:pStyle w:val="ListParagraph"/>
        <w:ind w:left="360"/>
        <w:rPr>
          <w:rFonts w:ascii="Garamond" w:hAnsi="Garamond"/>
          <w:sz w:val="20"/>
        </w:rPr>
      </w:pPr>
      <w:r w:rsidRPr="009B0821">
        <w:rPr>
          <w:rFonts w:ascii="Garamond" w:hAnsi="Garamond"/>
          <w:sz w:val="20"/>
        </w:rPr>
        <w:t xml:space="preserve">The following materials or products are subject to Buy Clean California Act, Public Contract Code section 3500 </w:t>
      </w:r>
      <w:r w:rsidRPr="00861066">
        <w:rPr>
          <w:rFonts w:ascii="Garamond" w:hAnsi="Garamond"/>
          <w:i/>
          <w:iCs/>
          <w:sz w:val="20"/>
        </w:rPr>
        <w:t>et seq</w:t>
      </w:r>
      <w:r w:rsidRPr="009B0821">
        <w:rPr>
          <w:rFonts w:ascii="Garamond" w:hAnsi="Garamond"/>
          <w:sz w:val="20"/>
        </w:rPr>
        <w:t>.:</w:t>
      </w:r>
    </w:p>
    <w:tbl>
      <w:tblPr>
        <w:tblW w:w="0" w:type="auto"/>
        <w:tblInd w:w="16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66"/>
        <w:gridCol w:w="4543"/>
      </w:tblGrid>
      <w:tr w:rsidR="004B7259" w:rsidRPr="004B7259" w14:paraId="1A01C7F8" w14:textId="77777777" w:rsidTr="00C35591">
        <w:trPr>
          <w:trHeight w:val="287"/>
        </w:trPr>
        <w:tc>
          <w:tcPr>
            <w:tcW w:w="2966" w:type="dxa"/>
            <w:tcBorders>
              <w:bottom w:val="double" w:sz="1" w:space="0" w:color="000000"/>
            </w:tcBorders>
          </w:tcPr>
          <w:p w14:paraId="1A0415A3" w14:textId="77777777" w:rsidR="004B7259" w:rsidRPr="004B7259" w:rsidRDefault="004B7259" w:rsidP="00C35591">
            <w:pPr>
              <w:pStyle w:val="TableParagraph"/>
              <w:spacing w:line="225" w:lineRule="exact"/>
              <w:ind w:left="705"/>
              <w:rPr>
                <w:rFonts w:ascii="Garamond" w:hAnsi="Garamond"/>
                <w:sz w:val="20"/>
              </w:rPr>
            </w:pPr>
            <w:r w:rsidRPr="004B7259">
              <w:rPr>
                <w:rFonts w:ascii="Garamond" w:hAnsi="Garamond"/>
                <w:sz w:val="20"/>
              </w:rPr>
              <w:t>Material or product</w:t>
            </w:r>
          </w:p>
        </w:tc>
        <w:tc>
          <w:tcPr>
            <w:tcW w:w="4543" w:type="dxa"/>
            <w:tcBorders>
              <w:bottom w:val="double" w:sz="1" w:space="0" w:color="000000"/>
            </w:tcBorders>
          </w:tcPr>
          <w:p w14:paraId="29BEDBC4" w14:textId="77777777" w:rsidR="004B7259" w:rsidRPr="004B7259" w:rsidRDefault="004B7259" w:rsidP="00C35591">
            <w:pPr>
              <w:pStyle w:val="TableParagraph"/>
              <w:spacing w:line="225" w:lineRule="exact"/>
              <w:ind w:left="708"/>
              <w:rPr>
                <w:rFonts w:ascii="Garamond" w:hAnsi="Garamond"/>
                <w:sz w:val="20"/>
              </w:rPr>
            </w:pPr>
            <w:r w:rsidRPr="004B7259">
              <w:rPr>
                <w:rFonts w:ascii="Garamond" w:hAnsi="Garamond"/>
                <w:sz w:val="20"/>
              </w:rPr>
              <w:t>Material specifications: CSI Uniformat</w:t>
            </w:r>
          </w:p>
        </w:tc>
      </w:tr>
      <w:tr w:rsidR="004B7259" w:rsidRPr="004B7259" w14:paraId="1E436B9D" w14:textId="77777777" w:rsidTr="00C35591">
        <w:trPr>
          <w:trHeight w:val="229"/>
        </w:trPr>
        <w:tc>
          <w:tcPr>
            <w:tcW w:w="2966" w:type="dxa"/>
            <w:tcBorders>
              <w:top w:val="double" w:sz="1" w:space="0" w:color="000000"/>
            </w:tcBorders>
          </w:tcPr>
          <w:p w14:paraId="51613FCC" w14:textId="77777777" w:rsidR="004B7259" w:rsidRPr="004B7259" w:rsidRDefault="004B7259" w:rsidP="00C35591">
            <w:pPr>
              <w:pStyle w:val="TableParagraph"/>
              <w:ind w:left="83"/>
              <w:rPr>
                <w:rFonts w:ascii="Garamond" w:hAnsi="Garamond"/>
                <w:sz w:val="20"/>
              </w:rPr>
            </w:pPr>
            <w:r w:rsidRPr="004B7259">
              <w:rPr>
                <w:rFonts w:ascii="Garamond" w:hAnsi="Garamond"/>
                <w:sz w:val="20"/>
              </w:rPr>
              <w:t>Carbon steel rebar</w:t>
            </w:r>
          </w:p>
        </w:tc>
        <w:tc>
          <w:tcPr>
            <w:tcW w:w="4543" w:type="dxa"/>
            <w:tcBorders>
              <w:top w:val="double" w:sz="1" w:space="0" w:color="000000"/>
            </w:tcBorders>
          </w:tcPr>
          <w:p w14:paraId="1AD9529F" w14:textId="77777777" w:rsidR="004B7259" w:rsidRPr="004B7259" w:rsidRDefault="004B7259" w:rsidP="00C35591">
            <w:pPr>
              <w:pStyle w:val="TableParagraph"/>
              <w:ind w:left="137"/>
              <w:rPr>
                <w:rFonts w:ascii="Garamond" w:hAnsi="Garamond"/>
                <w:sz w:val="20"/>
              </w:rPr>
            </w:pPr>
            <w:r w:rsidRPr="004B7259">
              <w:rPr>
                <w:rFonts w:ascii="Garamond" w:hAnsi="Garamond"/>
                <w:sz w:val="20"/>
              </w:rPr>
              <w:t xml:space="preserve">Section 03 20 </w:t>
            </w:r>
            <w:proofErr w:type="gramStart"/>
            <w:r w:rsidRPr="004B7259">
              <w:rPr>
                <w:rFonts w:ascii="Garamond" w:hAnsi="Garamond"/>
                <w:sz w:val="20"/>
              </w:rPr>
              <w:t>00 ,</w:t>
            </w:r>
            <w:proofErr w:type="gramEnd"/>
            <w:r w:rsidRPr="004B7259">
              <w:rPr>
                <w:rFonts w:ascii="Garamond" w:hAnsi="Garamond"/>
                <w:sz w:val="20"/>
              </w:rPr>
              <w:t xml:space="preserve"> "Bar Reinforcement"</w:t>
            </w:r>
          </w:p>
        </w:tc>
      </w:tr>
      <w:tr w:rsidR="004B7259" w:rsidRPr="004B7259" w14:paraId="5F2AC12A" w14:textId="77777777" w:rsidTr="00C35591">
        <w:trPr>
          <w:trHeight w:val="229"/>
        </w:trPr>
        <w:tc>
          <w:tcPr>
            <w:tcW w:w="2966" w:type="dxa"/>
          </w:tcPr>
          <w:p w14:paraId="1B843550" w14:textId="77777777" w:rsidR="004B7259" w:rsidRPr="004B7259" w:rsidRDefault="004B7259" w:rsidP="00C35591">
            <w:pPr>
              <w:pStyle w:val="TableParagraph"/>
              <w:ind w:left="83"/>
              <w:rPr>
                <w:rFonts w:ascii="Garamond" w:hAnsi="Garamond"/>
                <w:sz w:val="20"/>
              </w:rPr>
            </w:pPr>
            <w:r w:rsidRPr="004B7259">
              <w:rPr>
                <w:rFonts w:ascii="Garamond" w:hAnsi="Garamond"/>
                <w:sz w:val="20"/>
              </w:rPr>
              <w:t>Structural steel</w:t>
            </w:r>
          </w:p>
        </w:tc>
        <w:tc>
          <w:tcPr>
            <w:tcW w:w="4543" w:type="dxa"/>
          </w:tcPr>
          <w:p w14:paraId="39FDF848" w14:textId="77777777" w:rsidR="004B7259" w:rsidRPr="004B7259" w:rsidRDefault="004B7259" w:rsidP="00C35591">
            <w:pPr>
              <w:pStyle w:val="TableParagraph"/>
              <w:ind w:left="137"/>
              <w:rPr>
                <w:rFonts w:ascii="Garamond" w:hAnsi="Garamond"/>
                <w:sz w:val="20"/>
              </w:rPr>
            </w:pPr>
            <w:r w:rsidRPr="004B7259">
              <w:rPr>
                <w:rFonts w:ascii="Garamond" w:hAnsi="Garamond"/>
                <w:sz w:val="20"/>
              </w:rPr>
              <w:t>Section 05 12 00, “Structural Steel”</w:t>
            </w:r>
          </w:p>
        </w:tc>
      </w:tr>
      <w:tr w:rsidR="004B7259" w:rsidRPr="004B7259" w14:paraId="5FA0BD92" w14:textId="77777777" w:rsidTr="00C35591">
        <w:trPr>
          <w:trHeight w:val="230"/>
        </w:trPr>
        <w:tc>
          <w:tcPr>
            <w:tcW w:w="2966" w:type="dxa"/>
          </w:tcPr>
          <w:p w14:paraId="06414E64" w14:textId="77777777" w:rsidR="004B7259" w:rsidRPr="004B7259" w:rsidRDefault="004B7259" w:rsidP="00C35591">
            <w:pPr>
              <w:pStyle w:val="TableParagraph"/>
              <w:ind w:left="83"/>
              <w:rPr>
                <w:rFonts w:ascii="Garamond" w:hAnsi="Garamond"/>
                <w:sz w:val="20"/>
              </w:rPr>
            </w:pPr>
            <w:r w:rsidRPr="004B7259">
              <w:rPr>
                <w:rFonts w:ascii="Garamond" w:hAnsi="Garamond"/>
                <w:sz w:val="20"/>
              </w:rPr>
              <w:t>Flat glass</w:t>
            </w:r>
          </w:p>
        </w:tc>
        <w:tc>
          <w:tcPr>
            <w:tcW w:w="4543" w:type="dxa"/>
          </w:tcPr>
          <w:p w14:paraId="1268F58C" w14:textId="77777777" w:rsidR="004B7259" w:rsidRPr="004B7259" w:rsidRDefault="004B7259" w:rsidP="00C35591">
            <w:pPr>
              <w:pStyle w:val="TableParagraph"/>
              <w:ind w:left="137"/>
              <w:rPr>
                <w:rFonts w:ascii="Garamond" w:hAnsi="Garamond"/>
                <w:sz w:val="20"/>
              </w:rPr>
            </w:pPr>
            <w:r w:rsidRPr="004B7259">
              <w:rPr>
                <w:rFonts w:ascii="Garamond" w:hAnsi="Garamond"/>
                <w:sz w:val="20"/>
              </w:rPr>
              <w:t>Section 08 80 00, “Glazing”</w:t>
            </w:r>
          </w:p>
        </w:tc>
      </w:tr>
      <w:tr w:rsidR="004B7259" w:rsidRPr="004B7259" w14:paraId="3BD15ECE" w14:textId="77777777" w:rsidTr="00C35591">
        <w:trPr>
          <w:trHeight w:val="230"/>
        </w:trPr>
        <w:tc>
          <w:tcPr>
            <w:tcW w:w="2966" w:type="dxa"/>
          </w:tcPr>
          <w:p w14:paraId="34956F58" w14:textId="77777777" w:rsidR="004B7259" w:rsidRPr="004B7259" w:rsidRDefault="004B7259" w:rsidP="00C35591">
            <w:pPr>
              <w:pStyle w:val="TableParagraph"/>
              <w:ind w:left="83"/>
              <w:rPr>
                <w:rFonts w:ascii="Garamond" w:hAnsi="Garamond"/>
                <w:sz w:val="20"/>
              </w:rPr>
            </w:pPr>
            <w:r w:rsidRPr="004B7259">
              <w:rPr>
                <w:rFonts w:ascii="Garamond" w:hAnsi="Garamond"/>
                <w:sz w:val="20"/>
              </w:rPr>
              <w:t>Mineral wool board insulation</w:t>
            </w:r>
          </w:p>
        </w:tc>
        <w:tc>
          <w:tcPr>
            <w:tcW w:w="4543" w:type="dxa"/>
          </w:tcPr>
          <w:p w14:paraId="63DD4C9F" w14:textId="77777777" w:rsidR="004B7259" w:rsidRPr="004B7259" w:rsidRDefault="004B7259" w:rsidP="00C35591">
            <w:pPr>
              <w:pStyle w:val="TableParagraph"/>
              <w:ind w:left="137"/>
              <w:rPr>
                <w:rFonts w:ascii="Garamond" w:hAnsi="Garamond"/>
                <w:sz w:val="20"/>
              </w:rPr>
            </w:pPr>
            <w:r w:rsidRPr="004B7259">
              <w:rPr>
                <w:rFonts w:ascii="Garamond" w:hAnsi="Garamond"/>
                <w:sz w:val="20"/>
              </w:rPr>
              <w:t>Section 07 21 13.19 “Mineral Board Insulation”</w:t>
            </w:r>
          </w:p>
        </w:tc>
      </w:tr>
    </w:tbl>
    <w:p w14:paraId="6CA0D308" w14:textId="77777777" w:rsidR="00861066" w:rsidRPr="009B0821" w:rsidRDefault="00861066" w:rsidP="009B0821">
      <w:pPr>
        <w:pStyle w:val="ListParagraph"/>
        <w:ind w:left="360"/>
        <w:rPr>
          <w:rFonts w:ascii="Garamond" w:hAnsi="Garamond"/>
          <w:sz w:val="20"/>
        </w:rPr>
      </w:pPr>
    </w:p>
    <w:p w14:paraId="24771E0E" w14:textId="6AC3ACC1" w:rsidR="009B0821" w:rsidRDefault="009B0821" w:rsidP="004B7259">
      <w:pPr>
        <w:pStyle w:val="ListParagraph"/>
        <w:ind w:left="360"/>
        <w:rPr>
          <w:rFonts w:ascii="Garamond" w:hAnsi="Garamond"/>
          <w:sz w:val="20"/>
        </w:rPr>
      </w:pPr>
      <w:r w:rsidRPr="004B7259">
        <w:rPr>
          <w:rFonts w:ascii="Garamond" w:hAnsi="Garamond"/>
          <w:sz w:val="20"/>
        </w:rPr>
        <w:t xml:space="preserve">For product category rules and more information on applicable materials or products, go to: </w:t>
      </w:r>
    </w:p>
    <w:p w14:paraId="6FC75F9F" w14:textId="618DEEC9" w:rsidR="004F33AD" w:rsidRDefault="009E2C5B" w:rsidP="006F3A12">
      <w:pPr>
        <w:pStyle w:val="ListParagraph"/>
        <w:rPr>
          <w:rFonts w:ascii="Garamond" w:hAnsi="Garamond"/>
          <w:sz w:val="20"/>
        </w:rPr>
      </w:pPr>
      <w:hyperlink r:id="rId10" w:history="1">
        <w:r w:rsidR="00DC63C3" w:rsidRPr="00101A38">
          <w:rPr>
            <w:rStyle w:val="Hyperlink"/>
            <w:rFonts w:ascii="Garamond" w:hAnsi="Garamond"/>
            <w:sz w:val="20"/>
          </w:rPr>
          <w:t>https://www.dgs.ca.gov/PD/Resources/Page-Content/Procurement-Division-Resources-List-Folder/Buy-Clean-California-Act</w:t>
        </w:r>
      </w:hyperlink>
      <w:r w:rsidR="001B76B5">
        <w:rPr>
          <w:rFonts w:ascii="Garamond" w:hAnsi="Garamond"/>
          <w:sz w:val="20"/>
        </w:rPr>
        <w:t xml:space="preserve"> </w:t>
      </w:r>
    </w:p>
    <w:p w14:paraId="08C8BFC1" w14:textId="77777777" w:rsidR="009B0821" w:rsidRPr="009B0821" w:rsidRDefault="009B0821" w:rsidP="009B0821">
      <w:pPr>
        <w:pStyle w:val="ListParagraph"/>
        <w:ind w:left="360"/>
        <w:rPr>
          <w:rFonts w:ascii="Garamond" w:hAnsi="Garamond"/>
          <w:sz w:val="20"/>
        </w:rPr>
      </w:pPr>
      <w:r w:rsidRPr="009B0821">
        <w:rPr>
          <w:rFonts w:ascii="Garamond" w:hAnsi="Garamond"/>
          <w:sz w:val="20"/>
        </w:rPr>
        <w:lastRenderedPageBreak/>
        <w:t>The schedule for adoption of the Buy Clean California Act is as follows: January 1, 2019 – EPDs will be requested by the state.</w:t>
      </w:r>
    </w:p>
    <w:p w14:paraId="1870F93A" w14:textId="77777777" w:rsidR="009B0821" w:rsidRPr="009B0821" w:rsidRDefault="009B0821" w:rsidP="00DC63C3">
      <w:pPr>
        <w:pStyle w:val="ListParagraph"/>
        <w:ind w:left="360" w:firstLine="360"/>
        <w:rPr>
          <w:rFonts w:ascii="Garamond" w:hAnsi="Garamond"/>
          <w:sz w:val="20"/>
        </w:rPr>
      </w:pPr>
      <w:r w:rsidRPr="009B0821">
        <w:rPr>
          <w:rFonts w:ascii="Garamond" w:hAnsi="Garamond"/>
          <w:sz w:val="20"/>
        </w:rPr>
        <w:t>January 1, 2020 – EPDs will be required by the state.</w:t>
      </w:r>
    </w:p>
    <w:p w14:paraId="4115DCB1" w14:textId="77777777" w:rsidR="009B0821" w:rsidRPr="009B0821" w:rsidRDefault="009B0821" w:rsidP="00DC63C3">
      <w:pPr>
        <w:pStyle w:val="ListParagraph"/>
        <w:ind w:left="360" w:firstLine="360"/>
        <w:rPr>
          <w:rFonts w:ascii="Garamond" w:hAnsi="Garamond"/>
          <w:sz w:val="20"/>
        </w:rPr>
      </w:pPr>
      <w:r w:rsidRPr="009B0821">
        <w:rPr>
          <w:rFonts w:ascii="Garamond" w:hAnsi="Garamond"/>
          <w:sz w:val="20"/>
        </w:rPr>
        <w:t>January 1, 2021 – DGS publishes the maximum acceptable GWP for eligible materials.</w:t>
      </w:r>
    </w:p>
    <w:p w14:paraId="7EC05C19" w14:textId="1D0E7561" w:rsidR="009B0821" w:rsidRDefault="009B0821" w:rsidP="00DC63C3">
      <w:pPr>
        <w:pStyle w:val="ListParagraph"/>
        <w:ind w:left="360" w:firstLine="360"/>
        <w:rPr>
          <w:rFonts w:ascii="Garamond" w:hAnsi="Garamond"/>
          <w:sz w:val="20"/>
        </w:rPr>
      </w:pPr>
      <w:r w:rsidRPr="009B0821">
        <w:rPr>
          <w:rFonts w:ascii="Garamond" w:hAnsi="Garamond"/>
          <w:sz w:val="20"/>
        </w:rPr>
        <w:t>July 1, 2021 – EPDs will be required and used to gauge GWP compliance of eligible materials.</w:t>
      </w:r>
    </w:p>
    <w:p w14:paraId="4EB9D457" w14:textId="77777777" w:rsidR="00DC63C3" w:rsidRPr="009B0821" w:rsidRDefault="00DC63C3" w:rsidP="00DC63C3">
      <w:pPr>
        <w:pStyle w:val="ListParagraph"/>
        <w:ind w:left="360" w:firstLine="360"/>
        <w:rPr>
          <w:rFonts w:ascii="Garamond" w:hAnsi="Garamond"/>
          <w:sz w:val="20"/>
        </w:rPr>
      </w:pPr>
    </w:p>
    <w:p w14:paraId="349A1734" w14:textId="4A140018" w:rsidR="009B0821" w:rsidRDefault="009B0821" w:rsidP="009B0821">
      <w:pPr>
        <w:pStyle w:val="ListParagraph"/>
        <w:ind w:left="360"/>
        <w:rPr>
          <w:rFonts w:ascii="Garamond" w:hAnsi="Garamond"/>
          <w:sz w:val="20"/>
        </w:rPr>
      </w:pPr>
      <w:r w:rsidRPr="009B0821">
        <w:rPr>
          <w:rFonts w:ascii="Garamond" w:hAnsi="Garamond"/>
          <w:sz w:val="20"/>
        </w:rPr>
        <w:t>For projects with bid opening dates after November 30, 2018, and before November 30, 2019, the Trustees shall collect existing environmental product declarations (EPDs) from Design-Builder for materials or products subject to the Buy Clean California Act.</w:t>
      </w:r>
    </w:p>
    <w:p w14:paraId="7C548789" w14:textId="63054975" w:rsidR="00DC63C3" w:rsidRDefault="00DC63C3" w:rsidP="00DC63C3">
      <w:pPr>
        <w:pStyle w:val="ListParagraph"/>
        <w:numPr>
          <w:ilvl w:val="0"/>
          <w:numId w:val="6"/>
        </w:numPr>
        <w:rPr>
          <w:rFonts w:ascii="Garamond" w:hAnsi="Garamond"/>
          <w:sz w:val="20"/>
        </w:rPr>
      </w:pPr>
      <w:r>
        <w:rPr>
          <w:rFonts w:ascii="Garamond" w:hAnsi="Garamond"/>
          <w:sz w:val="20"/>
        </w:rPr>
        <w:t>Definitions</w:t>
      </w:r>
    </w:p>
    <w:p w14:paraId="6C1B8698" w14:textId="4BDF53F9" w:rsidR="008442E8" w:rsidRPr="008442E8" w:rsidRDefault="008442E8" w:rsidP="008442E8">
      <w:pPr>
        <w:pStyle w:val="ListParagraph"/>
        <w:numPr>
          <w:ilvl w:val="1"/>
          <w:numId w:val="6"/>
        </w:numPr>
        <w:rPr>
          <w:rFonts w:ascii="Garamond" w:hAnsi="Garamond"/>
          <w:sz w:val="20"/>
        </w:rPr>
      </w:pPr>
      <w:r w:rsidRPr="007606E0">
        <w:rPr>
          <w:rFonts w:ascii="Garamond" w:hAnsi="Garamond"/>
          <w:sz w:val="20"/>
          <w:u w:val="single"/>
        </w:rPr>
        <w:t>Environmental Product Declaration (EPD)</w:t>
      </w:r>
      <w:r w:rsidRPr="008442E8">
        <w:rPr>
          <w:rFonts w:ascii="Garamond" w:hAnsi="Garamond"/>
          <w:sz w:val="20"/>
        </w:rPr>
        <w:t>. Independently verified document created and verified in accordance with International Organization for Standardization (ISO) 14025 for Type III environmental declarations that identifies the global warming potential emissions of the facility-specific material or product through a product stage life cycle assessment.</w:t>
      </w:r>
    </w:p>
    <w:p w14:paraId="77075BF1" w14:textId="4DE075BF" w:rsidR="008442E8" w:rsidRPr="008442E8" w:rsidRDefault="008442E8" w:rsidP="008442E8">
      <w:pPr>
        <w:pStyle w:val="ListParagraph"/>
        <w:numPr>
          <w:ilvl w:val="1"/>
          <w:numId w:val="6"/>
        </w:numPr>
        <w:rPr>
          <w:rFonts w:ascii="Garamond" w:hAnsi="Garamond"/>
          <w:sz w:val="20"/>
        </w:rPr>
      </w:pPr>
      <w:r w:rsidRPr="007606E0">
        <w:rPr>
          <w:rFonts w:ascii="Garamond" w:hAnsi="Garamond"/>
          <w:sz w:val="20"/>
          <w:u w:val="single"/>
        </w:rPr>
        <w:t>Product Category Rule</w:t>
      </w:r>
      <w:r w:rsidRPr="008442E8">
        <w:rPr>
          <w:rFonts w:ascii="Garamond" w:hAnsi="Garamond"/>
          <w:sz w:val="20"/>
        </w:rPr>
        <w:t>. Program operator established rule based on the science of life cycle assessment that governs the development of the environmental product declaration for the material or product.</w:t>
      </w:r>
    </w:p>
    <w:p w14:paraId="5CDFFB0C" w14:textId="2179E79C" w:rsidR="008442E8" w:rsidRDefault="008442E8" w:rsidP="008442E8">
      <w:pPr>
        <w:pStyle w:val="ListParagraph"/>
        <w:numPr>
          <w:ilvl w:val="1"/>
          <w:numId w:val="6"/>
        </w:numPr>
        <w:rPr>
          <w:rFonts w:ascii="Garamond" w:hAnsi="Garamond"/>
          <w:sz w:val="20"/>
        </w:rPr>
      </w:pPr>
      <w:r w:rsidRPr="007606E0">
        <w:rPr>
          <w:rFonts w:ascii="Garamond" w:hAnsi="Garamond"/>
          <w:sz w:val="20"/>
          <w:u w:val="single"/>
        </w:rPr>
        <w:t>Product Stage</w:t>
      </w:r>
      <w:r w:rsidRPr="008442E8">
        <w:rPr>
          <w:rFonts w:ascii="Garamond" w:hAnsi="Garamond"/>
          <w:sz w:val="20"/>
        </w:rPr>
        <w:t>. Boundary of the environmental product declaration that includes: (1) raw material supply, (2) transportation processes, and (3) processing operations, including operations such as melting, mixing, fabrication, finishing, curing, cooling, trimming, packaging and loading for transport delivery. Commonly referred to as a "cradle-to-gate" life cycle assessment.</w:t>
      </w:r>
    </w:p>
    <w:p w14:paraId="1040DC68" w14:textId="7F4C88ED" w:rsidR="004F665F" w:rsidRPr="004F665F" w:rsidRDefault="004F665F" w:rsidP="004F665F">
      <w:pPr>
        <w:pStyle w:val="ListParagraph"/>
        <w:numPr>
          <w:ilvl w:val="1"/>
          <w:numId w:val="6"/>
        </w:numPr>
        <w:rPr>
          <w:rFonts w:ascii="Garamond" w:hAnsi="Garamond"/>
          <w:sz w:val="20"/>
        </w:rPr>
      </w:pPr>
      <w:r w:rsidRPr="004F665F">
        <w:rPr>
          <w:rFonts w:ascii="Garamond" w:hAnsi="Garamond"/>
          <w:sz w:val="20"/>
          <w:u w:val="single"/>
        </w:rPr>
        <w:t>Program Operator</w:t>
      </w:r>
      <w:r w:rsidRPr="004F665F">
        <w:rPr>
          <w:rFonts w:ascii="Garamond" w:hAnsi="Garamond"/>
          <w:sz w:val="20"/>
        </w:rPr>
        <w:t>. Independent agency that supervises and confirms the full environmental product declaration development process in accordance with ISO 14025.</w:t>
      </w:r>
    </w:p>
    <w:p w14:paraId="23543662" w14:textId="362DF61E" w:rsidR="004F665F" w:rsidRPr="004F665F" w:rsidRDefault="004F665F" w:rsidP="004F665F">
      <w:pPr>
        <w:pStyle w:val="ListParagraph"/>
        <w:numPr>
          <w:ilvl w:val="1"/>
          <w:numId w:val="6"/>
        </w:numPr>
        <w:rPr>
          <w:rFonts w:ascii="Garamond" w:hAnsi="Garamond"/>
          <w:sz w:val="20"/>
        </w:rPr>
      </w:pPr>
      <w:r w:rsidRPr="004F665F">
        <w:rPr>
          <w:rFonts w:ascii="Garamond" w:hAnsi="Garamond"/>
          <w:sz w:val="20"/>
          <w:u w:val="single"/>
        </w:rPr>
        <w:t>Raw Material Supply</w:t>
      </w:r>
      <w:r w:rsidRPr="004F665F">
        <w:rPr>
          <w:rFonts w:ascii="Garamond" w:hAnsi="Garamond"/>
          <w:sz w:val="20"/>
        </w:rPr>
        <w:t>. Upstream processes which can include allocations, extraction, refinement, reclamation, handling and processing of the constituents used in producing the material or product.</w:t>
      </w:r>
    </w:p>
    <w:p w14:paraId="5CB701FE" w14:textId="1C47A6DB" w:rsidR="004F665F" w:rsidRDefault="004F665F" w:rsidP="004F665F">
      <w:pPr>
        <w:pStyle w:val="ListParagraph"/>
        <w:numPr>
          <w:ilvl w:val="1"/>
          <w:numId w:val="6"/>
        </w:numPr>
        <w:rPr>
          <w:rFonts w:ascii="Garamond" w:hAnsi="Garamond"/>
          <w:sz w:val="20"/>
        </w:rPr>
      </w:pPr>
      <w:r w:rsidRPr="004F665F">
        <w:rPr>
          <w:rFonts w:ascii="Garamond" w:hAnsi="Garamond"/>
          <w:sz w:val="20"/>
          <w:u w:val="single"/>
        </w:rPr>
        <w:t>Transportation Processes</w:t>
      </w:r>
      <w:r w:rsidRPr="004F665F">
        <w:rPr>
          <w:rFonts w:ascii="Garamond" w:hAnsi="Garamond"/>
          <w:sz w:val="20"/>
        </w:rPr>
        <w:t>. Includes transportation of raw, reclaimed or recycled material constituents from the supplier to the gate of the manufacturer, producer or fabricator. Includes transport of related waste products.</w:t>
      </w:r>
    </w:p>
    <w:p w14:paraId="52E3587E" w14:textId="24C88AFB" w:rsidR="008442E8" w:rsidRDefault="008442E8" w:rsidP="00DC63C3">
      <w:pPr>
        <w:pStyle w:val="ListParagraph"/>
        <w:numPr>
          <w:ilvl w:val="0"/>
          <w:numId w:val="6"/>
        </w:numPr>
        <w:rPr>
          <w:rFonts w:ascii="Garamond" w:hAnsi="Garamond"/>
          <w:sz w:val="20"/>
        </w:rPr>
      </w:pPr>
      <w:r>
        <w:rPr>
          <w:rFonts w:ascii="Garamond" w:hAnsi="Garamond"/>
          <w:sz w:val="20"/>
        </w:rPr>
        <w:t>Submittals to the Trustees</w:t>
      </w:r>
    </w:p>
    <w:p w14:paraId="2D7500A4" w14:textId="77777777" w:rsidR="00E23F87" w:rsidRPr="00260E50" w:rsidRDefault="00E23F87" w:rsidP="00E23F87">
      <w:pPr>
        <w:pStyle w:val="ListParagraph"/>
        <w:ind w:left="1080"/>
        <w:rPr>
          <w:rFonts w:ascii="Garamond" w:hAnsi="Garamond"/>
          <w:sz w:val="20"/>
        </w:rPr>
      </w:pPr>
      <w:r w:rsidRPr="009B0821">
        <w:rPr>
          <w:rFonts w:ascii="Garamond" w:hAnsi="Garamond"/>
          <w:sz w:val="20"/>
        </w:rPr>
        <w:t>Design-Builder shall submit EPDs to University as a part of the submittal process for eligible materials. University shall compile EPDs for submission to CPDC as a part of project closeout.</w:t>
      </w:r>
    </w:p>
    <w:p w14:paraId="4B8D3250" w14:textId="77777777" w:rsidR="001A5972" w:rsidRPr="0032390E" w:rsidRDefault="001A5972" w:rsidP="0032390E">
      <w:pPr>
        <w:jc w:val="both"/>
        <w:rPr>
          <w:rFonts w:ascii="Garamond" w:hAnsi="Garamond"/>
          <w:sz w:val="20"/>
        </w:rPr>
      </w:pPr>
    </w:p>
    <w:p w14:paraId="0F422D2A" w14:textId="19210FFE" w:rsidR="001A5972" w:rsidRDefault="001A5972" w:rsidP="00484B96">
      <w:pPr>
        <w:pStyle w:val="ListParagraph"/>
        <w:numPr>
          <w:ilvl w:val="0"/>
          <w:numId w:val="3"/>
        </w:numPr>
        <w:jc w:val="both"/>
        <w:rPr>
          <w:rFonts w:ascii="Garamond" w:hAnsi="Garamond"/>
          <w:sz w:val="20"/>
        </w:rPr>
      </w:pPr>
      <w:r>
        <w:rPr>
          <w:rFonts w:ascii="Garamond" w:hAnsi="Garamond"/>
          <w:sz w:val="20"/>
        </w:rPr>
        <w:t xml:space="preserve">The following technical specifications </w:t>
      </w:r>
      <w:r w:rsidR="0063356E">
        <w:rPr>
          <w:rFonts w:ascii="Garamond" w:hAnsi="Garamond"/>
          <w:sz w:val="20"/>
        </w:rPr>
        <w:t>are in addition to Article 7.4 Electric Power Requirements of the Solar 4: Exhibit A – Solar License and Power Purchase Agreement.</w:t>
      </w:r>
    </w:p>
    <w:p w14:paraId="1FEEDBCD" w14:textId="20203947" w:rsidR="0032390E" w:rsidRPr="0050703A" w:rsidRDefault="0032390E" w:rsidP="0063356E">
      <w:pPr>
        <w:pStyle w:val="ListParagraph"/>
        <w:numPr>
          <w:ilvl w:val="1"/>
          <w:numId w:val="3"/>
        </w:numPr>
        <w:jc w:val="both"/>
        <w:rPr>
          <w:rFonts w:ascii="Garamond" w:hAnsi="Garamond"/>
          <w:sz w:val="20"/>
        </w:rPr>
      </w:pPr>
      <w:r w:rsidRPr="0050703A">
        <w:rPr>
          <w:rFonts w:ascii="Garamond" w:hAnsi="Garamond"/>
          <w:sz w:val="20"/>
        </w:rPr>
        <w:t xml:space="preserve">The design shall be compatible with the requirements of ANSI IEC 62898, Guidelines for Microgrid Project Planning and Specification. </w:t>
      </w:r>
    </w:p>
    <w:p w14:paraId="2972FE2C" w14:textId="2721EF95" w:rsidR="0032390E" w:rsidRPr="0050703A" w:rsidRDefault="0032390E" w:rsidP="0063356E">
      <w:pPr>
        <w:pStyle w:val="ListParagraph"/>
        <w:numPr>
          <w:ilvl w:val="1"/>
          <w:numId w:val="3"/>
        </w:numPr>
        <w:jc w:val="both"/>
        <w:rPr>
          <w:rFonts w:ascii="Garamond" w:hAnsi="Garamond"/>
          <w:sz w:val="20"/>
        </w:rPr>
      </w:pPr>
      <w:r w:rsidRPr="0050703A">
        <w:rPr>
          <w:rFonts w:ascii="Garamond" w:hAnsi="Garamond"/>
          <w:sz w:val="20"/>
        </w:rPr>
        <w:t>The design shall be compatible with the requirements of IEEE 2030.7, Standard for the Specification of Microgrid Controllers.</w:t>
      </w:r>
    </w:p>
    <w:p w14:paraId="3B8DA864" w14:textId="5BF0F2E1" w:rsidR="0032390E" w:rsidRDefault="0032390E" w:rsidP="0063356E">
      <w:pPr>
        <w:pStyle w:val="ListParagraph"/>
        <w:numPr>
          <w:ilvl w:val="1"/>
          <w:numId w:val="3"/>
        </w:numPr>
        <w:jc w:val="both"/>
        <w:rPr>
          <w:rFonts w:ascii="Garamond" w:hAnsi="Garamond"/>
          <w:sz w:val="20"/>
        </w:rPr>
      </w:pPr>
      <w:r w:rsidRPr="0050703A">
        <w:rPr>
          <w:rFonts w:ascii="Garamond" w:hAnsi="Garamond"/>
          <w:sz w:val="20"/>
        </w:rPr>
        <w:t>The design shall be compatible with the requirements of IEEE 1547</w:t>
      </w:r>
      <w:r w:rsidR="00CC178D">
        <w:rPr>
          <w:rFonts w:ascii="Garamond" w:hAnsi="Garamond"/>
          <w:sz w:val="20"/>
        </w:rPr>
        <w:t xml:space="preserve"> (all sections)</w:t>
      </w:r>
      <w:r w:rsidRPr="0050703A">
        <w:rPr>
          <w:rFonts w:ascii="Garamond" w:hAnsi="Garamond"/>
          <w:sz w:val="20"/>
        </w:rPr>
        <w:t>, Standard for Interconnection and Interoperability of Distributed Energy Resources with Associated Electric Power Systems Interfaces.</w:t>
      </w:r>
    </w:p>
    <w:p w14:paraId="2B1D15FB" w14:textId="4188639F" w:rsidR="0072293E" w:rsidRPr="0072293E" w:rsidRDefault="0072293E" w:rsidP="0063356E">
      <w:pPr>
        <w:pStyle w:val="ListParagraph"/>
        <w:numPr>
          <w:ilvl w:val="1"/>
          <w:numId w:val="3"/>
        </w:numPr>
        <w:jc w:val="both"/>
        <w:rPr>
          <w:rFonts w:ascii="Garamond" w:hAnsi="Garamond"/>
          <w:sz w:val="20"/>
        </w:rPr>
      </w:pPr>
      <w:r>
        <w:rPr>
          <w:rFonts w:ascii="Garamond" w:hAnsi="Garamond"/>
          <w:sz w:val="20"/>
        </w:rPr>
        <w:t>The microgrid design shall comply with all California building Codes and Regulations, including CEC requirements for interconnected power sources.</w:t>
      </w:r>
    </w:p>
    <w:p w14:paraId="4481C5F7" w14:textId="0917A427" w:rsidR="0032390E" w:rsidRPr="0050703A" w:rsidRDefault="00AC24D6" w:rsidP="0063356E">
      <w:pPr>
        <w:pStyle w:val="ListParagraph"/>
        <w:numPr>
          <w:ilvl w:val="1"/>
          <w:numId w:val="3"/>
        </w:numPr>
        <w:jc w:val="both"/>
        <w:rPr>
          <w:rFonts w:ascii="Garamond" w:hAnsi="Garamond"/>
          <w:sz w:val="20"/>
        </w:rPr>
      </w:pPr>
      <w:r>
        <w:rPr>
          <w:rFonts w:ascii="Garamond" w:hAnsi="Garamond"/>
          <w:sz w:val="20"/>
        </w:rPr>
        <w:t>If required by the terms of the interconnection agreement (i</w:t>
      </w:r>
      <w:r w:rsidR="007B591E">
        <w:rPr>
          <w:rFonts w:ascii="Garamond" w:hAnsi="Garamond"/>
          <w:sz w:val="20"/>
        </w:rPr>
        <w:t>.</w:t>
      </w:r>
      <w:r>
        <w:rPr>
          <w:rFonts w:ascii="Garamond" w:hAnsi="Garamond"/>
          <w:sz w:val="20"/>
        </w:rPr>
        <w:t>e</w:t>
      </w:r>
      <w:r w:rsidR="007B591E">
        <w:rPr>
          <w:rFonts w:ascii="Garamond" w:hAnsi="Garamond"/>
          <w:sz w:val="20"/>
        </w:rPr>
        <w:t>.</w:t>
      </w:r>
      <w:r>
        <w:rPr>
          <w:rFonts w:ascii="Garamond" w:hAnsi="Garamond"/>
          <w:sz w:val="20"/>
        </w:rPr>
        <w:t>, no export) and future microgrid design, t</w:t>
      </w:r>
      <w:r w:rsidR="0032390E" w:rsidRPr="0050703A">
        <w:rPr>
          <w:rFonts w:ascii="Garamond" w:hAnsi="Garamond"/>
          <w:sz w:val="20"/>
        </w:rPr>
        <w:t>he inverter shall be capable of curtailing its output in logical steps, with controllable ramp rates, in response to commands from a microgrid controller or other source.</w:t>
      </w:r>
    </w:p>
    <w:p w14:paraId="1A8FC3F6" w14:textId="77777777" w:rsidR="00E6355A" w:rsidRDefault="00E6355A">
      <w:pPr>
        <w:spacing w:after="160" w:line="259" w:lineRule="auto"/>
        <w:rPr>
          <w:rFonts w:ascii="Garamond" w:hAnsi="Garamond"/>
          <w:sz w:val="20"/>
        </w:rPr>
      </w:pPr>
      <w:r>
        <w:rPr>
          <w:rFonts w:ascii="Garamond" w:hAnsi="Garamond"/>
          <w:sz w:val="20"/>
        </w:rPr>
        <w:br w:type="page"/>
      </w:r>
    </w:p>
    <w:p w14:paraId="41947311" w14:textId="3FD2F1B7" w:rsidR="0032390E" w:rsidRPr="0050703A" w:rsidRDefault="003E346A" w:rsidP="0063356E">
      <w:pPr>
        <w:pStyle w:val="ListParagraph"/>
        <w:numPr>
          <w:ilvl w:val="1"/>
          <w:numId w:val="3"/>
        </w:numPr>
        <w:jc w:val="both"/>
        <w:rPr>
          <w:rFonts w:ascii="Garamond" w:hAnsi="Garamond"/>
          <w:sz w:val="20"/>
        </w:rPr>
      </w:pPr>
      <w:r>
        <w:rPr>
          <w:rFonts w:ascii="Garamond" w:hAnsi="Garamond"/>
          <w:sz w:val="20"/>
        </w:rPr>
        <w:lastRenderedPageBreak/>
        <w:t xml:space="preserve">Inverters shall be selected in accordance with UL 1741 SA, “Grid Support Utility Interactive Inverters and Converters”. </w:t>
      </w:r>
      <w:r w:rsidR="0032390E" w:rsidRPr="0050703A">
        <w:rPr>
          <w:rFonts w:ascii="Garamond" w:hAnsi="Garamond"/>
          <w:sz w:val="20"/>
        </w:rPr>
        <w:t>The inverter shall have adjustable trip limit and clearing capabilities as determined by electrical studies, and as permitted by IEEE Std 1547a. Important capabilities include fault ride-through to stay online during transient grid disturbances, such as sags and swells, and extended operating voltage and frequency ranges to avoid nuisance tripping.</w:t>
      </w:r>
    </w:p>
    <w:p w14:paraId="770F20F3" w14:textId="77777777" w:rsidR="0032390E" w:rsidRPr="0050703A" w:rsidRDefault="0032390E" w:rsidP="0063356E">
      <w:pPr>
        <w:pStyle w:val="ListParagraph"/>
        <w:numPr>
          <w:ilvl w:val="1"/>
          <w:numId w:val="3"/>
        </w:numPr>
        <w:jc w:val="both"/>
        <w:rPr>
          <w:rFonts w:ascii="Garamond" w:hAnsi="Garamond"/>
          <w:sz w:val="20"/>
        </w:rPr>
      </w:pPr>
      <w:r w:rsidRPr="0050703A">
        <w:rPr>
          <w:rFonts w:ascii="Garamond" w:hAnsi="Garamond"/>
          <w:sz w:val="20"/>
        </w:rPr>
        <w:t>The inverter shall be capable of real-time data logging, alarm reporting, and communication with a remote power system controller.</w:t>
      </w:r>
    </w:p>
    <w:p w14:paraId="1A6FF8F3" w14:textId="57EF70AD" w:rsidR="004E5672" w:rsidRPr="004E5672" w:rsidRDefault="009F4C78" w:rsidP="0063356E">
      <w:pPr>
        <w:pStyle w:val="ListParagraph"/>
        <w:numPr>
          <w:ilvl w:val="1"/>
          <w:numId w:val="3"/>
        </w:numPr>
        <w:rPr>
          <w:rFonts w:ascii="Garamond" w:hAnsi="Garamond"/>
          <w:sz w:val="20"/>
        </w:rPr>
      </w:pPr>
      <w:bookmarkStart w:id="1" w:name="_Hlk38618230"/>
      <w:r>
        <w:rPr>
          <w:rFonts w:ascii="Garamond" w:hAnsi="Garamond"/>
          <w:sz w:val="20"/>
        </w:rPr>
        <w:t>S</w:t>
      </w:r>
      <w:r w:rsidR="004E5672" w:rsidRPr="004E5672">
        <w:rPr>
          <w:rFonts w:ascii="Garamond" w:hAnsi="Garamond"/>
          <w:sz w:val="20"/>
        </w:rPr>
        <w:t>elect PV inverters shall be multi-mode DC to AC inverters capable of switching between grid-interactive mode and microgrid mode</w:t>
      </w:r>
      <w:r>
        <w:rPr>
          <w:rFonts w:ascii="Garamond" w:hAnsi="Garamond"/>
          <w:sz w:val="20"/>
        </w:rPr>
        <w:t xml:space="preserve">, when paired with a primary anchor source such as battery storage or a </w:t>
      </w:r>
      <w:r w:rsidR="007B591E">
        <w:rPr>
          <w:rFonts w:ascii="Garamond" w:hAnsi="Garamond"/>
          <w:sz w:val="20"/>
        </w:rPr>
        <w:t>synchronous generator</w:t>
      </w:r>
      <w:r w:rsidR="004E5672" w:rsidRPr="004E5672">
        <w:rPr>
          <w:rFonts w:ascii="Garamond" w:hAnsi="Garamond"/>
          <w:sz w:val="20"/>
        </w:rPr>
        <w:t>. In conjunction with a system supervisory controller, they shall be capable of bi-directional real and reactive power flow.</w:t>
      </w:r>
    </w:p>
    <w:bookmarkEnd w:id="1"/>
    <w:p w14:paraId="54AE40B1" w14:textId="5D360173" w:rsidR="008E7292" w:rsidRPr="008E7292" w:rsidRDefault="008E7292" w:rsidP="0063356E">
      <w:pPr>
        <w:pStyle w:val="ListParagraph"/>
        <w:numPr>
          <w:ilvl w:val="1"/>
          <w:numId w:val="3"/>
        </w:numPr>
        <w:jc w:val="both"/>
        <w:rPr>
          <w:rFonts w:ascii="Garamond" w:hAnsi="Garamond"/>
          <w:sz w:val="20"/>
        </w:rPr>
      </w:pPr>
      <w:r>
        <w:rPr>
          <w:rFonts w:ascii="Garamond" w:hAnsi="Garamond"/>
          <w:sz w:val="20"/>
        </w:rPr>
        <w:t>The PV system shall interconnect to the load side of the main breaker, to allow for future microgrid system connections. The breaker shall be 100% and reverse-feed rated. This will require compliance with CEC 705.12 (B)(2)(3)(b). If the total power (</w:t>
      </w:r>
      <w:proofErr w:type="spellStart"/>
      <w:r>
        <w:rPr>
          <w:rFonts w:ascii="Garamond" w:hAnsi="Garamond"/>
          <w:sz w:val="20"/>
        </w:rPr>
        <w:t>kWAC</w:t>
      </w:r>
      <w:proofErr w:type="spellEnd"/>
      <w:r>
        <w:rPr>
          <w:rFonts w:ascii="Garamond" w:hAnsi="Garamond"/>
          <w:sz w:val="20"/>
        </w:rPr>
        <w:t xml:space="preserve">) does not allow for load-side connection, the line-side connection shall be </w:t>
      </w:r>
      <w:r w:rsidR="00705115">
        <w:rPr>
          <w:rFonts w:ascii="Garamond" w:hAnsi="Garamond"/>
          <w:sz w:val="20"/>
        </w:rPr>
        <w:t>designed</w:t>
      </w:r>
      <w:r>
        <w:rPr>
          <w:rFonts w:ascii="Garamond" w:hAnsi="Garamond"/>
          <w:sz w:val="20"/>
        </w:rPr>
        <w:t xml:space="preserve"> to allow for </w:t>
      </w:r>
      <w:r w:rsidR="00705115">
        <w:rPr>
          <w:rFonts w:ascii="Garamond" w:hAnsi="Garamond"/>
          <w:sz w:val="20"/>
        </w:rPr>
        <w:t>a future microgrid battery system switchboard</w:t>
      </w:r>
      <w:r w:rsidR="00B27318">
        <w:rPr>
          <w:rFonts w:ascii="Garamond" w:hAnsi="Garamond"/>
          <w:sz w:val="20"/>
        </w:rPr>
        <w:t xml:space="preserve"> </w:t>
      </w:r>
      <w:r w:rsidR="00342EBF">
        <w:rPr>
          <w:rFonts w:ascii="Garamond" w:hAnsi="Garamond"/>
          <w:sz w:val="20"/>
        </w:rPr>
        <w:t>(</w:t>
      </w:r>
      <w:proofErr w:type="spellStart"/>
      <w:r w:rsidR="00342EBF">
        <w:rPr>
          <w:rFonts w:ascii="Garamond" w:hAnsi="Garamond"/>
          <w:sz w:val="20"/>
        </w:rPr>
        <w:t>ie</w:t>
      </w:r>
      <w:proofErr w:type="spellEnd"/>
      <w:r w:rsidR="00342EBF">
        <w:rPr>
          <w:rFonts w:ascii="Garamond" w:hAnsi="Garamond"/>
          <w:sz w:val="20"/>
        </w:rPr>
        <w:t>, overdesigning the number of conduits, providing knockouts for future installation/modification)</w:t>
      </w:r>
      <w:r w:rsidR="00705115">
        <w:rPr>
          <w:rFonts w:ascii="Garamond" w:hAnsi="Garamond"/>
          <w:sz w:val="20"/>
        </w:rPr>
        <w:t>.</w:t>
      </w:r>
      <w:r w:rsidR="00B72D99">
        <w:rPr>
          <w:rFonts w:ascii="Garamond" w:hAnsi="Garamond"/>
          <w:sz w:val="20"/>
        </w:rPr>
        <w:t xml:space="preserve">  It is the contractor’s responsibility to do a thorough power flow analysis of the campus circuits related to the PV generation interconnection point</w:t>
      </w:r>
      <w:r w:rsidR="00A56A99">
        <w:rPr>
          <w:rFonts w:ascii="Garamond" w:hAnsi="Garamond"/>
          <w:sz w:val="20"/>
        </w:rPr>
        <w:t>,</w:t>
      </w:r>
      <w:r w:rsidR="00B72D99">
        <w:rPr>
          <w:rFonts w:ascii="Garamond" w:hAnsi="Garamond"/>
          <w:sz w:val="20"/>
        </w:rPr>
        <w:t xml:space="preserve"> to confirm adequacy of existing electrical systems to accommodate the proposed addition. Any deficiency or upgrade need on existing electrical infrastructure needs to be identified and incorporated into the project. </w:t>
      </w:r>
    </w:p>
    <w:p w14:paraId="3BF4ABE7" w14:textId="5F44A86C" w:rsidR="008E7292" w:rsidRDefault="008E7292" w:rsidP="0063356E">
      <w:pPr>
        <w:pStyle w:val="ListParagraph"/>
        <w:numPr>
          <w:ilvl w:val="1"/>
          <w:numId w:val="3"/>
        </w:numPr>
        <w:jc w:val="both"/>
        <w:rPr>
          <w:rFonts w:ascii="Garamond" w:hAnsi="Garamond"/>
          <w:sz w:val="20"/>
        </w:rPr>
      </w:pPr>
      <w:r>
        <w:rPr>
          <w:rFonts w:ascii="Garamond" w:hAnsi="Garamond"/>
          <w:sz w:val="20"/>
        </w:rPr>
        <w:t xml:space="preserve">The </w:t>
      </w:r>
      <w:r w:rsidR="00D1692A">
        <w:rPr>
          <w:rFonts w:ascii="Garamond" w:hAnsi="Garamond"/>
          <w:sz w:val="20"/>
        </w:rPr>
        <w:t xml:space="preserve">utility line </w:t>
      </w:r>
      <w:proofErr w:type="gramStart"/>
      <w:r w:rsidR="00D1692A">
        <w:rPr>
          <w:rFonts w:ascii="Garamond" w:hAnsi="Garamond"/>
          <w:sz w:val="20"/>
        </w:rPr>
        <w:t>disconnect</w:t>
      </w:r>
      <w:proofErr w:type="gramEnd"/>
      <w:r w:rsidR="00D1692A">
        <w:rPr>
          <w:rFonts w:ascii="Garamond" w:hAnsi="Garamond"/>
          <w:sz w:val="20"/>
        </w:rPr>
        <w:t xml:space="preserve"> (ULD) </w:t>
      </w:r>
      <w:r>
        <w:rPr>
          <w:rFonts w:ascii="Garamond" w:hAnsi="Garamond"/>
          <w:sz w:val="20"/>
        </w:rPr>
        <w:t>shall be compatible with future microgrid equipment.</w:t>
      </w:r>
    </w:p>
    <w:p w14:paraId="3473A272" w14:textId="77777777" w:rsidR="005B46A9" w:rsidRDefault="005B46A9" w:rsidP="0063356E">
      <w:pPr>
        <w:pStyle w:val="ListParagraph"/>
        <w:numPr>
          <w:ilvl w:val="1"/>
          <w:numId w:val="3"/>
        </w:numPr>
        <w:jc w:val="both"/>
        <w:rPr>
          <w:rFonts w:ascii="Garamond" w:hAnsi="Garamond"/>
          <w:sz w:val="20"/>
        </w:rPr>
      </w:pPr>
      <w:r>
        <w:rPr>
          <w:rFonts w:ascii="Garamond" w:hAnsi="Garamond"/>
          <w:sz w:val="20"/>
        </w:rPr>
        <w:t>The line side bus tap shall be designed and installed to allow for future microgrid and battery system integration.</w:t>
      </w:r>
    </w:p>
    <w:p w14:paraId="532BCDF9" w14:textId="4C460FE0" w:rsidR="004E5672" w:rsidRPr="004E5672" w:rsidRDefault="0032390E" w:rsidP="0063356E">
      <w:pPr>
        <w:pStyle w:val="ListParagraph"/>
        <w:numPr>
          <w:ilvl w:val="1"/>
          <w:numId w:val="3"/>
        </w:numPr>
        <w:rPr>
          <w:rFonts w:ascii="Garamond" w:hAnsi="Garamond"/>
          <w:sz w:val="20"/>
        </w:rPr>
      </w:pPr>
      <w:r w:rsidRPr="0050703A">
        <w:rPr>
          <w:rFonts w:ascii="Garamond" w:hAnsi="Garamond"/>
          <w:sz w:val="20"/>
        </w:rPr>
        <w:t xml:space="preserve">The </w:t>
      </w:r>
      <w:r w:rsidR="00D1692A">
        <w:rPr>
          <w:rFonts w:ascii="Garamond" w:hAnsi="Garamond"/>
          <w:sz w:val="20"/>
        </w:rPr>
        <w:t xml:space="preserve">system equipment installation </w:t>
      </w:r>
      <w:r w:rsidRPr="0050703A">
        <w:rPr>
          <w:rFonts w:ascii="Garamond" w:hAnsi="Garamond"/>
          <w:sz w:val="20"/>
        </w:rPr>
        <w:t xml:space="preserve">design shall consider space requirements for future </w:t>
      </w:r>
      <w:r w:rsidR="00D1692A">
        <w:rPr>
          <w:rFonts w:ascii="Garamond" w:hAnsi="Garamond"/>
          <w:sz w:val="20"/>
        </w:rPr>
        <w:t xml:space="preserve">battery energy storage system (BESS) </w:t>
      </w:r>
      <w:r w:rsidRPr="0050703A">
        <w:rPr>
          <w:rFonts w:ascii="Garamond" w:hAnsi="Garamond"/>
          <w:sz w:val="20"/>
        </w:rPr>
        <w:t xml:space="preserve">equipment and microgrid communication connections. For example, spare communications raceways may be installed to route future communication cabling between the inverter and microgrid controller </w:t>
      </w:r>
      <w:proofErr w:type="gramStart"/>
      <w:r w:rsidRPr="0050703A">
        <w:rPr>
          <w:rFonts w:ascii="Garamond" w:hAnsi="Garamond"/>
          <w:sz w:val="20"/>
        </w:rPr>
        <w:t>at a later date</w:t>
      </w:r>
      <w:proofErr w:type="gramEnd"/>
      <w:r w:rsidRPr="0050703A">
        <w:rPr>
          <w:rFonts w:ascii="Garamond" w:hAnsi="Garamond"/>
          <w:sz w:val="20"/>
        </w:rPr>
        <w:t>.</w:t>
      </w:r>
    </w:p>
    <w:p w14:paraId="5289AC23" w14:textId="64D6A79C" w:rsidR="004500A3" w:rsidRPr="004500A3" w:rsidRDefault="00004B02" w:rsidP="0063356E">
      <w:pPr>
        <w:pStyle w:val="ListParagraph"/>
        <w:numPr>
          <w:ilvl w:val="1"/>
          <w:numId w:val="3"/>
        </w:numPr>
        <w:jc w:val="both"/>
        <w:rPr>
          <w:rFonts w:ascii="Garamond" w:hAnsi="Garamond"/>
          <w:sz w:val="20"/>
        </w:rPr>
      </w:pPr>
      <w:r>
        <w:rPr>
          <w:rFonts w:ascii="Garamond" w:hAnsi="Garamond"/>
          <w:sz w:val="20"/>
        </w:rPr>
        <w:t xml:space="preserve">Inverters shall be selected that have the ability be upgraded with a minimum of cost to provide </w:t>
      </w:r>
      <w:r w:rsidR="004500A3" w:rsidRPr="0050703A">
        <w:rPr>
          <w:rFonts w:ascii="Garamond" w:hAnsi="Garamond"/>
          <w:sz w:val="20"/>
        </w:rPr>
        <w:t>sourcing or sinking reactive power for the purpose of improving power factor (PF). This can help mitigate or eliminate monthly PF charges in grid connected mode and improve microgrid operations during islanded scenarios. Reactive power levels (absorption or supply) shall be either programmed locally or be controlled through set-point commands provided by a remote controller. The control system shall adjust inverter reactive power based on actual system conditions. The inverter shall be capable of sourcing VARs even when daylight is not present. Oversizing the inverter to allow for both reactive power and planned real power requirements may be necessary.</w:t>
      </w:r>
      <w:r w:rsidR="00D1692A">
        <w:rPr>
          <w:rFonts w:ascii="Garamond" w:hAnsi="Garamond"/>
          <w:sz w:val="20"/>
        </w:rPr>
        <w:t xml:space="preserve"> The inverter shall include provisions for microgrid controller communications for operation and control when integrated and operating as part of a microgrid DER system.</w:t>
      </w:r>
    </w:p>
    <w:p w14:paraId="069D9D06" w14:textId="77777777" w:rsidR="0032390E" w:rsidRPr="00A27EC3" w:rsidRDefault="00A27EC3" w:rsidP="0063356E">
      <w:pPr>
        <w:pStyle w:val="ListParagraph"/>
        <w:numPr>
          <w:ilvl w:val="1"/>
          <w:numId w:val="3"/>
        </w:numPr>
        <w:rPr>
          <w:rFonts w:ascii="Garamond" w:hAnsi="Garamond"/>
          <w:sz w:val="20"/>
          <w:highlight w:val="yellow"/>
        </w:rPr>
      </w:pPr>
      <w:r>
        <w:rPr>
          <w:rFonts w:ascii="Garamond" w:hAnsi="Garamond"/>
          <w:sz w:val="20"/>
          <w:highlight w:val="yellow"/>
        </w:rPr>
        <w:t xml:space="preserve">[This provision is also in the energy storage MEA Rider B2. If there is a concurrent energy storage MEA, solicit prices from both vendors but only choose </w:t>
      </w:r>
      <w:r w:rsidRPr="00BE5C94">
        <w:rPr>
          <w:rFonts w:ascii="Garamond" w:hAnsi="Garamond"/>
          <w:b/>
          <w:sz w:val="20"/>
          <w:highlight w:val="yellow"/>
          <w:u w:val="single"/>
        </w:rPr>
        <w:t>one</w:t>
      </w:r>
      <w:r w:rsidRPr="00A27EC3">
        <w:rPr>
          <w:rFonts w:ascii="Garamond" w:hAnsi="Garamond"/>
          <w:b/>
          <w:sz w:val="20"/>
          <w:highlight w:val="yellow"/>
        </w:rPr>
        <w:t xml:space="preserve"> </w:t>
      </w:r>
      <w:r>
        <w:rPr>
          <w:rFonts w:ascii="Garamond" w:hAnsi="Garamond"/>
          <w:sz w:val="20"/>
          <w:highlight w:val="yellow"/>
        </w:rPr>
        <w:t xml:space="preserve">DER system to run the “master” inverter] </w:t>
      </w:r>
      <w:r w:rsidR="0032390E" w:rsidRPr="00A27EC3">
        <w:rPr>
          <w:rFonts w:ascii="Garamond" w:hAnsi="Garamond"/>
          <w:sz w:val="20"/>
          <w:highlight w:val="yellow"/>
        </w:rPr>
        <w:t xml:space="preserve">Should the agreement be a power purchase agreement or a performance contract, the Contractor shall propose how they should be compensated for any lost real power kWh in exchange for sourcing </w:t>
      </w:r>
      <w:proofErr w:type="spellStart"/>
      <w:r w:rsidR="0032390E" w:rsidRPr="00A27EC3">
        <w:rPr>
          <w:rFonts w:ascii="Garamond" w:hAnsi="Garamond"/>
          <w:sz w:val="20"/>
          <w:highlight w:val="yellow"/>
        </w:rPr>
        <w:t>VARs.</w:t>
      </w:r>
      <w:proofErr w:type="spellEnd"/>
      <w:r w:rsidR="0032390E" w:rsidRPr="00A27EC3">
        <w:rPr>
          <w:rFonts w:ascii="Garamond" w:hAnsi="Garamond"/>
          <w:sz w:val="20"/>
          <w:highlight w:val="yellow"/>
        </w:rPr>
        <w:t xml:space="preserve"> (For example, use the inverters to record potential kWh vs. actual kWh.)</w:t>
      </w:r>
    </w:p>
    <w:bookmarkEnd w:id="0"/>
    <w:p w14:paraId="2B424CC6" w14:textId="77777777" w:rsidR="00184096" w:rsidRDefault="00184096" w:rsidP="00184096">
      <w:pPr>
        <w:rPr>
          <w:rFonts w:ascii="Garamond" w:hAnsi="Garamond"/>
          <w:b/>
        </w:rPr>
      </w:pPr>
    </w:p>
    <w:p w14:paraId="29881ABA" w14:textId="77777777" w:rsidR="00184096" w:rsidRDefault="00184096" w:rsidP="00184096">
      <w:pPr>
        <w:rPr>
          <w:rFonts w:ascii="Garamond" w:hAnsi="Garamond"/>
          <w:b/>
        </w:rPr>
      </w:pPr>
    </w:p>
    <w:p w14:paraId="65762065" w14:textId="77777777" w:rsidR="00184096" w:rsidRDefault="00184096" w:rsidP="00184096">
      <w:pPr>
        <w:rPr>
          <w:rFonts w:ascii="Garamond" w:hAnsi="Garamond"/>
          <w:b/>
        </w:rPr>
      </w:pPr>
    </w:p>
    <w:p w14:paraId="7FC59FD3" w14:textId="77777777" w:rsidR="00184096" w:rsidRPr="003F4F2E" w:rsidRDefault="00184096" w:rsidP="00184096">
      <w:pPr>
        <w:jc w:val="center"/>
        <w:rPr>
          <w:rFonts w:ascii="Garamond" w:hAnsi="Garamond"/>
        </w:rPr>
      </w:pPr>
      <w:r w:rsidRPr="003F4F2E">
        <w:rPr>
          <w:rFonts w:ascii="Garamond" w:hAnsi="Garamond"/>
        </w:rPr>
        <w:t>End of Rider B-2</w:t>
      </w:r>
    </w:p>
    <w:p w14:paraId="5B915963" w14:textId="77777777" w:rsidR="00A825FA" w:rsidRDefault="00A825FA"/>
    <w:sectPr w:rsidR="00A825FA">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17638E" w14:textId="77777777" w:rsidR="009E2C5B" w:rsidRDefault="009E2C5B" w:rsidP="00720A4D">
      <w:r>
        <w:separator/>
      </w:r>
    </w:p>
  </w:endnote>
  <w:endnote w:type="continuationSeparator" w:id="0">
    <w:p w14:paraId="329B9BCC" w14:textId="77777777" w:rsidR="009E2C5B" w:rsidRDefault="009E2C5B" w:rsidP="00720A4D">
      <w:r>
        <w:continuationSeparator/>
      </w:r>
    </w:p>
  </w:endnote>
  <w:endnote w:type="continuationNotice" w:id="1">
    <w:p w14:paraId="2A363ED6" w14:textId="77777777" w:rsidR="009E2C5B" w:rsidRDefault="009E2C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Garamond" w:hAnsi="Garamond"/>
        <w:i/>
      </w:rPr>
      <w:id w:val="-727370478"/>
      <w:docPartObj>
        <w:docPartGallery w:val="Page Numbers (Bottom of Page)"/>
        <w:docPartUnique/>
      </w:docPartObj>
    </w:sdtPr>
    <w:sdtEndPr/>
    <w:sdtContent>
      <w:sdt>
        <w:sdtPr>
          <w:rPr>
            <w:rFonts w:ascii="Garamond" w:hAnsi="Garamond"/>
            <w:i/>
          </w:rPr>
          <w:id w:val="1728636285"/>
          <w:docPartObj>
            <w:docPartGallery w:val="Page Numbers (Top of Page)"/>
            <w:docPartUnique/>
          </w:docPartObj>
        </w:sdtPr>
        <w:sdtEndPr/>
        <w:sdtContent>
          <w:p w14:paraId="1AF45B31" w14:textId="77777777" w:rsidR="00720A4D" w:rsidRPr="003F4F2E" w:rsidRDefault="00720A4D">
            <w:pPr>
              <w:pStyle w:val="Footer"/>
              <w:jc w:val="center"/>
              <w:rPr>
                <w:rFonts w:ascii="Garamond" w:hAnsi="Garamond"/>
                <w:i/>
              </w:rPr>
            </w:pPr>
            <w:r w:rsidRPr="003F4F2E">
              <w:rPr>
                <w:rFonts w:ascii="Garamond" w:hAnsi="Garamond"/>
                <w:i/>
              </w:rPr>
              <w:t xml:space="preserve">Page </w:t>
            </w:r>
            <w:r w:rsidRPr="003F4F2E">
              <w:rPr>
                <w:rFonts w:ascii="Garamond" w:hAnsi="Garamond"/>
                <w:bCs/>
                <w:i/>
              </w:rPr>
              <w:fldChar w:fldCharType="begin"/>
            </w:r>
            <w:r w:rsidRPr="003F4F2E">
              <w:rPr>
                <w:rFonts w:ascii="Garamond" w:hAnsi="Garamond"/>
                <w:bCs/>
                <w:i/>
              </w:rPr>
              <w:instrText xml:space="preserve"> PAGE </w:instrText>
            </w:r>
            <w:r w:rsidRPr="003F4F2E">
              <w:rPr>
                <w:rFonts w:ascii="Garamond" w:hAnsi="Garamond"/>
                <w:bCs/>
                <w:i/>
              </w:rPr>
              <w:fldChar w:fldCharType="separate"/>
            </w:r>
            <w:r w:rsidR="00686F13">
              <w:rPr>
                <w:rFonts w:ascii="Garamond" w:hAnsi="Garamond"/>
                <w:bCs/>
                <w:i/>
                <w:noProof/>
              </w:rPr>
              <w:t>1</w:t>
            </w:r>
            <w:r w:rsidRPr="003F4F2E">
              <w:rPr>
                <w:rFonts w:ascii="Garamond" w:hAnsi="Garamond"/>
                <w:bCs/>
                <w:i/>
              </w:rPr>
              <w:fldChar w:fldCharType="end"/>
            </w:r>
            <w:r w:rsidRPr="003F4F2E">
              <w:rPr>
                <w:rFonts w:ascii="Garamond" w:hAnsi="Garamond"/>
                <w:i/>
              </w:rPr>
              <w:t xml:space="preserve"> of </w:t>
            </w:r>
            <w:r w:rsidRPr="003F4F2E">
              <w:rPr>
                <w:rFonts w:ascii="Garamond" w:hAnsi="Garamond"/>
                <w:bCs/>
                <w:i/>
              </w:rPr>
              <w:fldChar w:fldCharType="begin"/>
            </w:r>
            <w:r w:rsidRPr="003F4F2E">
              <w:rPr>
                <w:rFonts w:ascii="Garamond" w:hAnsi="Garamond"/>
                <w:bCs/>
                <w:i/>
              </w:rPr>
              <w:instrText xml:space="preserve"> NUMPAGES  </w:instrText>
            </w:r>
            <w:r w:rsidRPr="003F4F2E">
              <w:rPr>
                <w:rFonts w:ascii="Garamond" w:hAnsi="Garamond"/>
                <w:bCs/>
                <w:i/>
              </w:rPr>
              <w:fldChar w:fldCharType="separate"/>
            </w:r>
            <w:r w:rsidR="00686F13">
              <w:rPr>
                <w:rFonts w:ascii="Garamond" w:hAnsi="Garamond"/>
                <w:bCs/>
                <w:i/>
                <w:noProof/>
              </w:rPr>
              <w:t>1</w:t>
            </w:r>
            <w:r w:rsidRPr="003F4F2E">
              <w:rPr>
                <w:rFonts w:ascii="Garamond" w:hAnsi="Garamond"/>
                <w:bCs/>
                <w:i/>
              </w:rPr>
              <w:fldChar w:fldCharType="end"/>
            </w:r>
          </w:p>
        </w:sdtContent>
      </w:sdt>
    </w:sdtContent>
  </w:sdt>
  <w:p w14:paraId="2B5B2657" w14:textId="77777777" w:rsidR="00720A4D" w:rsidRDefault="00720A4D">
    <w:pPr>
      <w:pStyle w:val="Footer"/>
    </w:pPr>
  </w:p>
  <w:p w14:paraId="7C198DE6" w14:textId="77777777" w:rsidR="00E14EB8" w:rsidRDefault="00E14EB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9392EE" w14:textId="77777777" w:rsidR="009E2C5B" w:rsidRDefault="009E2C5B" w:rsidP="00720A4D">
      <w:r>
        <w:separator/>
      </w:r>
    </w:p>
  </w:footnote>
  <w:footnote w:type="continuationSeparator" w:id="0">
    <w:p w14:paraId="1C56765C" w14:textId="77777777" w:rsidR="009E2C5B" w:rsidRDefault="009E2C5B" w:rsidP="00720A4D">
      <w:r>
        <w:continuationSeparator/>
      </w:r>
    </w:p>
  </w:footnote>
  <w:footnote w:type="continuationNotice" w:id="1">
    <w:p w14:paraId="031145E4" w14:textId="77777777" w:rsidR="009E2C5B" w:rsidRDefault="009E2C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BC2ECA" w14:textId="77777777" w:rsidR="00720A4D" w:rsidRPr="003F4F2E" w:rsidRDefault="00720A4D" w:rsidP="00720A4D">
    <w:pPr>
      <w:pStyle w:val="Header"/>
      <w:jc w:val="right"/>
      <w:rPr>
        <w:rFonts w:ascii="Garamond" w:hAnsi="Garamond"/>
        <w:i/>
        <w:highlight w:val="yellow"/>
      </w:rPr>
    </w:pPr>
    <w:r w:rsidRPr="003F4F2E">
      <w:rPr>
        <w:rFonts w:ascii="Garamond" w:hAnsi="Garamond"/>
        <w:i/>
        <w:highlight w:val="yellow"/>
      </w:rPr>
      <w:t>MEA #</w:t>
    </w:r>
  </w:p>
  <w:p w14:paraId="225BF7C4" w14:textId="77777777" w:rsidR="00720A4D" w:rsidRPr="003F4F2E" w:rsidRDefault="00720A4D" w:rsidP="00720A4D">
    <w:pPr>
      <w:pStyle w:val="Header"/>
      <w:jc w:val="right"/>
      <w:rPr>
        <w:rFonts w:ascii="Garamond" w:hAnsi="Garamond"/>
        <w:i/>
      </w:rPr>
    </w:pPr>
    <w:r w:rsidRPr="003F4F2E">
      <w:rPr>
        <w:rFonts w:ascii="Garamond" w:hAnsi="Garamond"/>
        <w:i/>
        <w:highlight w:val="yellow"/>
      </w:rPr>
      <w:t>(Contractor)</w:t>
    </w:r>
  </w:p>
  <w:p w14:paraId="3D3CE1C3" w14:textId="77777777" w:rsidR="00720A4D" w:rsidRPr="003F4F2E" w:rsidRDefault="00720A4D" w:rsidP="00720A4D">
    <w:pPr>
      <w:pStyle w:val="Header"/>
      <w:rPr>
        <w:rFonts w:ascii="Garamond" w:hAnsi="Garamond"/>
      </w:rPr>
    </w:pPr>
    <w:r w:rsidRPr="003F4F2E">
      <w:rPr>
        <w:rFonts w:ascii="Garamond" w:hAnsi="Garamond"/>
        <w:i/>
      </w:rPr>
      <w:tab/>
    </w:r>
    <w:r w:rsidRPr="003F4F2E">
      <w:rPr>
        <w:rFonts w:ascii="Garamond" w:hAnsi="Garamond"/>
        <w:i/>
      </w:rPr>
      <w:tab/>
      <w:t>Solar 4: Exhibit A – SLPPA – Rider B</w:t>
    </w:r>
    <w:r w:rsidR="00B92851" w:rsidRPr="003F4F2E">
      <w:rPr>
        <w:rFonts w:ascii="Garamond" w:hAnsi="Garamond"/>
        <w:i/>
      </w:rPr>
      <w:t>-</w:t>
    </w:r>
    <w:r w:rsidRPr="003F4F2E">
      <w:rPr>
        <w:rFonts w:ascii="Garamond" w:hAnsi="Garamond"/>
        <w:i/>
      </w:rPr>
      <w:t>2</w:t>
    </w:r>
  </w:p>
  <w:p w14:paraId="21B8F5A6" w14:textId="77777777" w:rsidR="00E14EB8" w:rsidRDefault="00E14EB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7306A2"/>
    <w:multiLevelType w:val="hybridMultilevel"/>
    <w:tmpl w:val="BBAA00E8"/>
    <w:lvl w:ilvl="0" w:tplc="2E18D63C">
      <w:start w:val="1"/>
      <w:numFmt w:val="decimal"/>
      <w:lvlText w:val="(%1)"/>
      <w:lvlJc w:val="left"/>
      <w:pPr>
        <w:ind w:left="1080" w:hanging="360"/>
      </w:pPr>
      <w:rPr>
        <w:rFonts w:ascii="Times New Roman" w:eastAsia="Times New Roman" w:hAnsi="Times New Roman" w:cs="Times New Roman" w:hint="default"/>
        <w:w w:val="99"/>
        <w:sz w:val="20"/>
        <w:szCs w:val="20"/>
        <w:lang w:val="en-US" w:eastAsia="en-US" w:bidi="en-US"/>
      </w:rPr>
    </w:lvl>
    <w:lvl w:ilvl="1" w:tplc="0A804C32">
      <w:numFmt w:val="bullet"/>
      <w:lvlText w:val="•"/>
      <w:lvlJc w:val="left"/>
      <w:pPr>
        <w:ind w:left="1800" w:hanging="360"/>
      </w:pPr>
      <w:rPr>
        <w:rFonts w:ascii="Times New Roman" w:eastAsia="Times New Roman" w:hAnsi="Times New Roman" w:cs="Times New Roman" w:hint="default"/>
        <w:b/>
        <w:bCs/>
        <w:spacing w:val="-3"/>
        <w:w w:val="100"/>
        <w:sz w:val="18"/>
        <w:szCs w:val="18"/>
        <w:lang w:val="en-US" w:eastAsia="en-US" w:bidi="en-US"/>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BE07EC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557400B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D321A07"/>
    <w:multiLevelType w:val="hybridMultilevel"/>
    <w:tmpl w:val="8C8EB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8B81DDA"/>
    <w:multiLevelType w:val="hybridMultilevel"/>
    <w:tmpl w:val="E69C742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2"/>
  </w:num>
  <w:num w:numId="4">
    <w:abstractNumId w:val="1"/>
  </w:num>
  <w:num w:numId="5">
    <w:abstractNumId w:val="2"/>
    <w:lvlOverride w:ilvl="0">
      <w:lvl w:ilvl="0">
        <w:start w:val="1"/>
        <w:numFmt w:val="decimal"/>
        <w:lvlText w:val="%1)"/>
        <w:lvlJc w:val="left"/>
        <w:pPr>
          <w:ind w:left="360" w:hanging="360"/>
        </w:pPr>
        <w:rPr>
          <w:rFonts w:hint="default"/>
        </w:rPr>
      </w:lvl>
    </w:lvlOverride>
    <w:lvlOverride w:ilvl="1">
      <w:lvl w:ilvl="1">
        <w:start w:val="1"/>
        <w:numFmt w:val="lowerLetter"/>
        <w:lvlText w:val="%2)"/>
        <w:lvlJc w:val="left"/>
        <w:pPr>
          <w:ind w:left="720" w:hanging="360"/>
        </w:pPr>
        <w:rPr>
          <w:rFonts w:hint="default"/>
        </w:rPr>
      </w:lvl>
    </w:lvlOverride>
    <w:lvlOverride w:ilvl="2">
      <w:lvl w:ilvl="2">
        <w:start w:val="1"/>
        <w:numFmt w:val="lowerRoman"/>
        <w:lvlText w:val="%3)"/>
        <w:lvlJc w:val="left"/>
        <w:pPr>
          <w:ind w:left="1080" w:hanging="360"/>
        </w:pPr>
        <w:rPr>
          <w:rFonts w:hint="default"/>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4096"/>
    <w:rsid w:val="00004B02"/>
    <w:rsid w:val="0015366E"/>
    <w:rsid w:val="00153E14"/>
    <w:rsid w:val="00184096"/>
    <w:rsid w:val="00194865"/>
    <w:rsid w:val="001A5972"/>
    <w:rsid w:val="001B76B5"/>
    <w:rsid w:val="001B7BD3"/>
    <w:rsid w:val="00267054"/>
    <w:rsid w:val="002B6816"/>
    <w:rsid w:val="0032390E"/>
    <w:rsid w:val="00342EBF"/>
    <w:rsid w:val="003E346A"/>
    <w:rsid w:val="003F4F2E"/>
    <w:rsid w:val="004467E3"/>
    <w:rsid w:val="004500A3"/>
    <w:rsid w:val="00453725"/>
    <w:rsid w:val="004761A1"/>
    <w:rsid w:val="00484B96"/>
    <w:rsid w:val="004B7259"/>
    <w:rsid w:val="004D4C9A"/>
    <w:rsid w:val="004E5672"/>
    <w:rsid w:val="004F33AD"/>
    <w:rsid w:val="004F665F"/>
    <w:rsid w:val="004F741E"/>
    <w:rsid w:val="005732E6"/>
    <w:rsid w:val="005B46A9"/>
    <w:rsid w:val="005B5041"/>
    <w:rsid w:val="005F2D2E"/>
    <w:rsid w:val="006252F3"/>
    <w:rsid w:val="0063356E"/>
    <w:rsid w:val="00686F13"/>
    <w:rsid w:val="006D2787"/>
    <w:rsid w:val="006F3A12"/>
    <w:rsid w:val="006F3FDD"/>
    <w:rsid w:val="00705115"/>
    <w:rsid w:val="00720A4D"/>
    <w:rsid w:val="0072293E"/>
    <w:rsid w:val="007606E0"/>
    <w:rsid w:val="007B591E"/>
    <w:rsid w:val="007D66DD"/>
    <w:rsid w:val="008442E8"/>
    <w:rsid w:val="00861066"/>
    <w:rsid w:val="00897617"/>
    <w:rsid w:val="008E7292"/>
    <w:rsid w:val="009B0821"/>
    <w:rsid w:val="009D5B12"/>
    <w:rsid w:val="009E2C5B"/>
    <w:rsid w:val="009E63EC"/>
    <w:rsid w:val="009F4C78"/>
    <w:rsid w:val="00A27EC3"/>
    <w:rsid w:val="00A56A99"/>
    <w:rsid w:val="00A61054"/>
    <w:rsid w:val="00A825FA"/>
    <w:rsid w:val="00AC24D6"/>
    <w:rsid w:val="00B27318"/>
    <w:rsid w:val="00B72D99"/>
    <w:rsid w:val="00B92851"/>
    <w:rsid w:val="00BE5C94"/>
    <w:rsid w:val="00CC178D"/>
    <w:rsid w:val="00D1692A"/>
    <w:rsid w:val="00D2796F"/>
    <w:rsid w:val="00D40D57"/>
    <w:rsid w:val="00DC63C3"/>
    <w:rsid w:val="00DD01F6"/>
    <w:rsid w:val="00E14EB8"/>
    <w:rsid w:val="00E23F87"/>
    <w:rsid w:val="00E6355A"/>
    <w:rsid w:val="00ED57A9"/>
    <w:rsid w:val="00F256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CEC625"/>
  <w15:chartTrackingRefBased/>
  <w15:docId w15:val="{D7603514-F5BD-4A84-8971-5C379E0E7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4096"/>
    <w:pPr>
      <w:spacing w:after="0" w:line="240" w:lineRule="auto"/>
    </w:pPr>
    <w:rPr>
      <w:rFonts w:ascii="Calibri" w:eastAsia="Calibri" w:hAnsi="Calibri" w:cs="Times New Roman"/>
    </w:rPr>
  </w:style>
  <w:style w:type="paragraph" w:styleId="Heading1">
    <w:name w:val="heading 1"/>
    <w:basedOn w:val="Normal"/>
    <w:next w:val="Normal"/>
    <w:link w:val="Heading1Char"/>
    <w:uiPriority w:val="9"/>
    <w:qFormat/>
    <w:rsid w:val="004467E3"/>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20A4D"/>
    <w:pPr>
      <w:tabs>
        <w:tab w:val="center" w:pos="4680"/>
        <w:tab w:val="right" w:pos="9360"/>
      </w:tabs>
    </w:pPr>
  </w:style>
  <w:style w:type="character" w:customStyle="1" w:styleId="HeaderChar">
    <w:name w:val="Header Char"/>
    <w:basedOn w:val="DefaultParagraphFont"/>
    <w:link w:val="Header"/>
    <w:uiPriority w:val="99"/>
    <w:rsid w:val="00720A4D"/>
    <w:rPr>
      <w:rFonts w:ascii="Calibri" w:eastAsia="Calibri" w:hAnsi="Calibri" w:cs="Times New Roman"/>
    </w:rPr>
  </w:style>
  <w:style w:type="paragraph" w:styleId="Footer">
    <w:name w:val="footer"/>
    <w:basedOn w:val="Normal"/>
    <w:link w:val="FooterChar"/>
    <w:uiPriority w:val="99"/>
    <w:unhideWhenUsed/>
    <w:rsid w:val="00720A4D"/>
    <w:pPr>
      <w:tabs>
        <w:tab w:val="center" w:pos="4680"/>
        <w:tab w:val="right" w:pos="9360"/>
      </w:tabs>
    </w:pPr>
  </w:style>
  <w:style w:type="character" w:customStyle="1" w:styleId="FooterChar">
    <w:name w:val="Footer Char"/>
    <w:basedOn w:val="DefaultParagraphFont"/>
    <w:link w:val="Footer"/>
    <w:uiPriority w:val="99"/>
    <w:rsid w:val="00720A4D"/>
    <w:rPr>
      <w:rFonts w:ascii="Calibri" w:eastAsia="Calibri" w:hAnsi="Calibri" w:cs="Times New Roman"/>
    </w:rPr>
  </w:style>
  <w:style w:type="paragraph" w:styleId="CommentText">
    <w:name w:val="annotation text"/>
    <w:basedOn w:val="Normal"/>
    <w:link w:val="CommentTextChar"/>
    <w:unhideWhenUsed/>
    <w:rsid w:val="00720A4D"/>
    <w:rPr>
      <w:sz w:val="20"/>
      <w:szCs w:val="20"/>
    </w:rPr>
  </w:style>
  <w:style w:type="character" w:customStyle="1" w:styleId="CommentTextChar">
    <w:name w:val="Comment Text Char"/>
    <w:basedOn w:val="DefaultParagraphFont"/>
    <w:link w:val="CommentText"/>
    <w:rsid w:val="00720A4D"/>
    <w:rPr>
      <w:rFonts w:ascii="Calibri" w:eastAsia="Calibri" w:hAnsi="Calibri" w:cs="Times New Roman"/>
      <w:sz w:val="20"/>
      <w:szCs w:val="20"/>
    </w:rPr>
  </w:style>
  <w:style w:type="paragraph" w:styleId="ListParagraph">
    <w:name w:val="List Paragraph"/>
    <w:basedOn w:val="Normal"/>
    <w:uiPriority w:val="34"/>
    <w:qFormat/>
    <w:rsid w:val="0032390E"/>
    <w:pPr>
      <w:ind w:left="720"/>
      <w:contextualSpacing/>
    </w:pPr>
  </w:style>
  <w:style w:type="character" w:customStyle="1" w:styleId="Heading1Char">
    <w:name w:val="Heading 1 Char"/>
    <w:basedOn w:val="DefaultParagraphFont"/>
    <w:link w:val="Heading1"/>
    <w:uiPriority w:val="9"/>
    <w:rsid w:val="004467E3"/>
    <w:rPr>
      <w:rFonts w:asciiTheme="majorHAnsi" w:eastAsiaTheme="majorEastAsia" w:hAnsiTheme="majorHAnsi" w:cstheme="majorBidi"/>
      <w:color w:val="2E74B5" w:themeColor="accent1" w:themeShade="BF"/>
      <w:sz w:val="32"/>
      <w:szCs w:val="32"/>
    </w:rPr>
  </w:style>
  <w:style w:type="paragraph" w:styleId="BalloonText">
    <w:name w:val="Balloon Text"/>
    <w:basedOn w:val="Normal"/>
    <w:link w:val="BalloonTextChar"/>
    <w:uiPriority w:val="99"/>
    <w:semiHidden/>
    <w:unhideWhenUsed/>
    <w:rsid w:val="004467E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67E3"/>
    <w:rPr>
      <w:rFonts w:ascii="Segoe UI" w:eastAsia="Calibri" w:hAnsi="Segoe UI" w:cs="Segoe UI"/>
      <w:sz w:val="18"/>
      <w:szCs w:val="18"/>
    </w:rPr>
  </w:style>
  <w:style w:type="character" w:styleId="CommentReference">
    <w:name w:val="annotation reference"/>
    <w:basedOn w:val="DefaultParagraphFont"/>
    <w:uiPriority w:val="99"/>
    <w:semiHidden/>
    <w:unhideWhenUsed/>
    <w:rsid w:val="005B5041"/>
    <w:rPr>
      <w:sz w:val="16"/>
      <w:szCs w:val="16"/>
    </w:rPr>
  </w:style>
  <w:style w:type="paragraph" w:styleId="CommentSubject">
    <w:name w:val="annotation subject"/>
    <w:basedOn w:val="CommentText"/>
    <w:next w:val="CommentText"/>
    <w:link w:val="CommentSubjectChar"/>
    <w:uiPriority w:val="99"/>
    <w:semiHidden/>
    <w:unhideWhenUsed/>
    <w:rsid w:val="005B5041"/>
    <w:rPr>
      <w:b/>
      <w:bCs/>
    </w:rPr>
  </w:style>
  <w:style w:type="character" w:customStyle="1" w:styleId="CommentSubjectChar">
    <w:name w:val="Comment Subject Char"/>
    <w:basedOn w:val="CommentTextChar"/>
    <w:link w:val="CommentSubject"/>
    <w:uiPriority w:val="99"/>
    <w:semiHidden/>
    <w:rsid w:val="005B5041"/>
    <w:rPr>
      <w:rFonts w:ascii="Calibri" w:eastAsia="Calibri" w:hAnsi="Calibri" w:cs="Times New Roman"/>
      <w:b/>
      <w:bCs/>
      <w:sz w:val="20"/>
      <w:szCs w:val="20"/>
    </w:rPr>
  </w:style>
  <w:style w:type="paragraph" w:customStyle="1" w:styleId="TableParagraph">
    <w:name w:val="Table Paragraph"/>
    <w:basedOn w:val="Normal"/>
    <w:uiPriority w:val="1"/>
    <w:qFormat/>
    <w:rsid w:val="004B7259"/>
    <w:pPr>
      <w:widowControl w:val="0"/>
      <w:autoSpaceDE w:val="0"/>
      <w:autoSpaceDN w:val="0"/>
      <w:spacing w:line="210" w:lineRule="exact"/>
      <w:ind w:left="107"/>
    </w:pPr>
    <w:rPr>
      <w:rFonts w:ascii="Times New Roman" w:eastAsia="Times New Roman" w:hAnsi="Times New Roman"/>
      <w:lang w:bidi="en-US"/>
    </w:rPr>
  </w:style>
  <w:style w:type="character" w:styleId="Hyperlink">
    <w:name w:val="Hyperlink"/>
    <w:basedOn w:val="DefaultParagraphFont"/>
    <w:uiPriority w:val="99"/>
    <w:unhideWhenUsed/>
    <w:rsid w:val="001B76B5"/>
    <w:rPr>
      <w:color w:val="0563C1" w:themeColor="hyperlink"/>
      <w:u w:val="single"/>
    </w:rPr>
  </w:style>
  <w:style w:type="character" w:styleId="UnresolvedMention">
    <w:name w:val="Unresolved Mention"/>
    <w:basedOn w:val="DefaultParagraphFont"/>
    <w:uiPriority w:val="99"/>
    <w:semiHidden/>
    <w:unhideWhenUsed/>
    <w:rsid w:val="001B76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dgs.ca.gov/PD/Resources/Page-Content/Procurement-Division-Resources-List-Folder/Buy-Clean-California-Ac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15df63da-2f15-49de-899a-d705f1a8db0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4F57D0479C18A4E88C5A615400EA865" ma:contentTypeVersion="13" ma:contentTypeDescription="Create a new document." ma:contentTypeScope="" ma:versionID="d7ce58eb8db11ff0e9cd5b15a9d37acc">
  <xsd:schema xmlns:xsd="http://www.w3.org/2001/XMLSchema" xmlns:xs="http://www.w3.org/2001/XMLSchema" xmlns:p="http://schemas.microsoft.com/office/2006/metadata/properties" xmlns:ns2="ac5fe859-ab20-4672-9686-774a49c5571e" xmlns:ns3="15df63da-2f15-49de-899a-d705f1a8db0c" targetNamespace="http://schemas.microsoft.com/office/2006/metadata/properties" ma:root="true" ma:fieldsID="cf3208a92df2353626abbf57b4df5616" ns2:_="" ns3:_="">
    <xsd:import namespace="ac5fe859-ab20-4672-9686-774a49c5571e"/>
    <xsd:import namespace="15df63da-2f15-49de-899a-d705f1a8db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e859-ab20-4672-9686-774a49c5571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5df63da-2f15-49de-899a-d705f1a8db0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2C01B4-BBBB-41C5-B55A-EA7F4EF64743}">
  <ds:schemaRefs>
    <ds:schemaRef ds:uri="http://schemas.microsoft.com/office/2006/metadata/properties"/>
    <ds:schemaRef ds:uri="http://schemas.microsoft.com/office/infopath/2007/PartnerControls"/>
    <ds:schemaRef ds:uri="15df63da-2f15-49de-899a-d705f1a8db0c"/>
  </ds:schemaRefs>
</ds:datastoreItem>
</file>

<file path=customXml/itemProps2.xml><?xml version="1.0" encoding="utf-8"?>
<ds:datastoreItem xmlns:ds="http://schemas.openxmlformats.org/officeDocument/2006/customXml" ds:itemID="{2181027F-5B0E-466C-A5E5-A868753981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e859-ab20-4672-9686-774a49c5571e"/>
    <ds:schemaRef ds:uri="15df63da-2f15-49de-899a-d705f1a8db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785F98-96F4-4734-8C63-17CEAB388F1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3</Pages>
  <Words>1672</Words>
  <Characters>9534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CSU Office of the Chancellor</Company>
  <LinksUpToDate>false</LinksUpToDate>
  <CharactersWithSpaces>11184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Fuentes, Cecelia</dc:creator>
  <cp:keywords/>
  <dc:description/>
  <cp:lastModifiedBy>Klemm, Aaron</cp:lastModifiedBy>
  <cp:revision>20</cp:revision>
  <dcterms:created xsi:type="dcterms:W3CDTF">2020-10-12T18:03:00Z</dcterms:created>
  <dcterms:modified xsi:type="dcterms:W3CDTF">2020-10-16T19:32:00Z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0x01010094F57D0479C18A4E88C5A615400EA865</vt:lpwstr>
  </property>
  <property fmtid="{D5CDD505-2E9C-101B-9397-08002B2CF9AE}" pid="3" name="Order">
    <vt:r8>100</vt:r8>
  </property>
</Properties>
</file>